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032" w:rsidRPr="00A565E8" w:rsidRDefault="00B3466E" w:rsidP="00FC230A">
      <w:pPr>
        <w:spacing w:line="240" w:lineRule="auto"/>
        <w:jc w:val="center"/>
        <w:rPr>
          <w:rFonts w:asciiTheme="majorHAnsi" w:hAnsiTheme="majorHAnsi"/>
          <w:sz w:val="36"/>
          <w:szCs w:val="36"/>
        </w:rPr>
      </w:pPr>
      <w:r w:rsidRPr="00A565E8">
        <w:rPr>
          <w:rFonts w:asciiTheme="majorHAnsi" w:hAnsiTheme="majorHAnsi"/>
          <w:sz w:val="36"/>
          <w:szCs w:val="36"/>
        </w:rPr>
        <w:t xml:space="preserve">Re-Structuring </w:t>
      </w:r>
      <w:r w:rsidR="00562032" w:rsidRPr="00A565E8">
        <w:rPr>
          <w:rFonts w:asciiTheme="majorHAnsi" w:hAnsiTheme="majorHAnsi"/>
          <w:sz w:val="36"/>
          <w:szCs w:val="36"/>
        </w:rPr>
        <w:t>Pennsylvania’s School Funding Formula</w:t>
      </w:r>
    </w:p>
    <w:p w:rsidR="00FC230A" w:rsidRDefault="00FC230A" w:rsidP="00FC230A">
      <w:pPr>
        <w:spacing w:line="240" w:lineRule="auto"/>
        <w:jc w:val="center"/>
        <w:rPr>
          <w:rFonts w:asciiTheme="majorHAnsi" w:hAnsiTheme="majorHAnsi"/>
          <w:sz w:val="24"/>
          <w:szCs w:val="24"/>
        </w:rPr>
      </w:pPr>
      <w:r>
        <w:rPr>
          <w:rFonts w:asciiTheme="majorHAnsi" w:hAnsiTheme="majorHAnsi"/>
          <w:sz w:val="24"/>
          <w:szCs w:val="24"/>
        </w:rPr>
        <w:t>By Michael Churchill, Public Interest Law Center of Philadelphia</w:t>
      </w:r>
    </w:p>
    <w:p w:rsidR="00FC230A" w:rsidRPr="00562032" w:rsidRDefault="00FC230A" w:rsidP="00FC230A">
      <w:pPr>
        <w:spacing w:line="240" w:lineRule="auto"/>
        <w:jc w:val="center"/>
        <w:rPr>
          <w:rFonts w:asciiTheme="majorHAnsi" w:hAnsiTheme="majorHAnsi"/>
          <w:sz w:val="32"/>
          <w:szCs w:val="32"/>
        </w:rPr>
      </w:pPr>
    </w:p>
    <w:p w:rsidR="00817DD0" w:rsidRPr="002A25EE" w:rsidRDefault="004E7745" w:rsidP="00562032">
      <w:pPr>
        <w:spacing w:line="360" w:lineRule="auto"/>
        <w:ind w:firstLine="720"/>
        <w:rPr>
          <w:rFonts w:asciiTheme="majorHAnsi" w:hAnsiTheme="majorHAnsi"/>
          <w:sz w:val="28"/>
          <w:szCs w:val="28"/>
        </w:rPr>
      </w:pPr>
      <w:r w:rsidRPr="00562032">
        <w:rPr>
          <w:rFonts w:asciiTheme="majorHAnsi" w:hAnsiTheme="majorHAnsi"/>
          <w:sz w:val="28"/>
          <w:szCs w:val="28"/>
        </w:rPr>
        <w:t>Pennsylvania’s</w:t>
      </w:r>
      <w:r w:rsidRPr="002A25EE">
        <w:rPr>
          <w:rFonts w:asciiTheme="majorHAnsi" w:hAnsiTheme="majorHAnsi"/>
          <w:sz w:val="28"/>
          <w:szCs w:val="28"/>
        </w:rPr>
        <w:t xml:space="preserve"> system of funding schools is a failure by every</w:t>
      </w:r>
      <w:r w:rsidR="00860E93" w:rsidRPr="002A25EE">
        <w:rPr>
          <w:rFonts w:asciiTheme="majorHAnsi" w:hAnsiTheme="majorHAnsi"/>
          <w:sz w:val="28"/>
          <w:szCs w:val="28"/>
        </w:rPr>
        <w:t xml:space="preserve"> criterion</w:t>
      </w:r>
      <w:r w:rsidRPr="002A25EE">
        <w:rPr>
          <w:rFonts w:asciiTheme="majorHAnsi" w:hAnsiTheme="majorHAnsi"/>
          <w:sz w:val="28"/>
          <w:szCs w:val="28"/>
        </w:rPr>
        <w:t xml:space="preserve">: equity, adequacy, predictability, fairness.   Too many students in too many schools are unable to meet state standards of what children should know and be able to do.  Too few are going on to college or are prepared for well paying jobs.   No one </w:t>
      </w:r>
      <w:r w:rsidR="001B295B">
        <w:rPr>
          <w:rFonts w:asciiTheme="majorHAnsi" w:hAnsiTheme="majorHAnsi"/>
          <w:sz w:val="28"/>
          <w:szCs w:val="28"/>
        </w:rPr>
        <w:t xml:space="preserve">is responsible to </w:t>
      </w:r>
      <w:r w:rsidR="00940EBA">
        <w:rPr>
          <w:rFonts w:asciiTheme="majorHAnsi" w:hAnsiTheme="majorHAnsi"/>
          <w:sz w:val="28"/>
          <w:szCs w:val="28"/>
        </w:rPr>
        <w:t xml:space="preserve">calculate </w:t>
      </w:r>
      <w:r w:rsidRPr="002A25EE">
        <w:rPr>
          <w:rFonts w:asciiTheme="majorHAnsi" w:hAnsiTheme="majorHAnsi"/>
          <w:sz w:val="28"/>
          <w:szCs w:val="28"/>
        </w:rPr>
        <w:t>how much it</w:t>
      </w:r>
      <w:r w:rsidR="00940EBA">
        <w:rPr>
          <w:rFonts w:asciiTheme="majorHAnsi" w:hAnsiTheme="majorHAnsi"/>
          <w:sz w:val="28"/>
          <w:szCs w:val="28"/>
        </w:rPr>
        <w:t xml:space="preserve"> will</w:t>
      </w:r>
      <w:r w:rsidRPr="002A25EE">
        <w:rPr>
          <w:rFonts w:asciiTheme="majorHAnsi" w:hAnsiTheme="majorHAnsi"/>
          <w:sz w:val="28"/>
          <w:szCs w:val="28"/>
        </w:rPr>
        <w:t xml:space="preserve"> cost district</w:t>
      </w:r>
      <w:r w:rsidR="00940EBA">
        <w:rPr>
          <w:rFonts w:asciiTheme="majorHAnsi" w:hAnsiTheme="majorHAnsi"/>
          <w:sz w:val="28"/>
          <w:szCs w:val="28"/>
        </w:rPr>
        <w:t>s</w:t>
      </w:r>
      <w:r w:rsidRPr="002A25EE">
        <w:rPr>
          <w:rFonts w:asciiTheme="majorHAnsi" w:hAnsiTheme="majorHAnsi"/>
          <w:sz w:val="28"/>
          <w:szCs w:val="28"/>
        </w:rPr>
        <w:t xml:space="preserve"> to provide the necessary  instruction and support. The inequity of the system is glaring: the amount of public resources spent on preparing a child to succeed in the adult world varies from $9,000 to $27,000 a year, which is a quarter of a million dollars difference over a school career from K to 12</w:t>
      </w:r>
      <w:r w:rsidRPr="002A25EE">
        <w:rPr>
          <w:rFonts w:asciiTheme="majorHAnsi" w:hAnsiTheme="majorHAnsi"/>
          <w:sz w:val="28"/>
          <w:szCs w:val="28"/>
          <w:vertAlign w:val="superscript"/>
        </w:rPr>
        <w:t>th</w:t>
      </w:r>
      <w:r w:rsidRPr="002A25EE">
        <w:rPr>
          <w:rFonts w:asciiTheme="majorHAnsi" w:hAnsiTheme="majorHAnsi"/>
          <w:sz w:val="28"/>
          <w:szCs w:val="28"/>
        </w:rPr>
        <w:t xml:space="preserve"> grade.  But it is not only unfair to children, it is unfair to taxpayers</w:t>
      </w:r>
      <w:r w:rsidR="00817DD0" w:rsidRPr="002A25EE">
        <w:rPr>
          <w:rFonts w:asciiTheme="majorHAnsi" w:hAnsiTheme="majorHAnsi"/>
          <w:sz w:val="28"/>
          <w:szCs w:val="28"/>
        </w:rPr>
        <w:t xml:space="preserve"> where the tax burden can vary</w:t>
      </w:r>
      <w:r w:rsidR="00E261A1">
        <w:rPr>
          <w:rFonts w:asciiTheme="majorHAnsi" w:hAnsiTheme="majorHAnsi"/>
          <w:sz w:val="28"/>
          <w:szCs w:val="28"/>
        </w:rPr>
        <w:t xml:space="preserve"> from </w:t>
      </w:r>
      <w:r w:rsidR="00331624">
        <w:rPr>
          <w:rFonts w:asciiTheme="majorHAnsi" w:hAnsiTheme="majorHAnsi"/>
          <w:sz w:val="28"/>
          <w:szCs w:val="28"/>
        </w:rPr>
        <w:t xml:space="preserve">the equivalent of </w:t>
      </w:r>
      <w:r w:rsidR="00E261A1">
        <w:rPr>
          <w:rFonts w:asciiTheme="majorHAnsi" w:hAnsiTheme="majorHAnsi"/>
          <w:sz w:val="28"/>
          <w:szCs w:val="28"/>
        </w:rPr>
        <w:t>8 to 36</w:t>
      </w:r>
      <w:r w:rsidR="006A4F1A">
        <w:rPr>
          <w:rFonts w:asciiTheme="majorHAnsi" w:hAnsiTheme="majorHAnsi"/>
          <w:sz w:val="28"/>
          <w:szCs w:val="28"/>
        </w:rPr>
        <w:t xml:space="preserve"> equalized</w:t>
      </w:r>
      <w:r w:rsidR="00E261A1">
        <w:rPr>
          <w:rFonts w:asciiTheme="majorHAnsi" w:hAnsiTheme="majorHAnsi"/>
          <w:sz w:val="28"/>
          <w:szCs w:val="28"/>
        </w:rPr>
        <w:t xml:space="preserve"> mills</w:t>
      </w:r>
      <w:r w:rsidR="006A4F1A">
        <w:rPr>
          <w:rFonts w:asciiTheme="majorHAnsi" w:hAnsiTheme="majorHAnsi"/>
          <w:sz w:val="28"/>
          <w:szCs w:val="28"/>
        </w:rPr>
        <w:t xml:space="preserve"> of tax effort</w:t>
      </w:r>
      <w:r w:rsidR="00E261A1">
        <w:rPr>
          <w:rFonts w:asciiTheme="majorHAnsi" w:hAnsiTheme="majorHAnsi"/>
          <w:sz w:val="28"/>
          <w:szCs w:val="28"/>
        </w:rPr>
        <w:t xml:space="preserve"> for homes with the same value</w:t>
      </w:r>
      <w:r w:rsidR="00817DD0" w:rsidRPr="002A25EE">
        <w:rPr>
          <w:rFonts w:asciiTheme="majorHAnsi" w:hAnsiTheme="majorHAnsi"/>
          <w:sz w:val="28"/>
          <w:szCs w:val="28"/>
        </w:rPr>
        <w:t xml:space="preserve">.  And in the ultimate insult, the districts bearing the highest tax burdens frequently have less dollars </w:t>
      </w:r>
      <w:r w:rsidR="00095D1D">
        <w:rPr>
          <w:rFonts w:asciiTheme="majorHAnsi" w:hAnsiTheme="majorHAnsi"/>
          <w:sz w:val="28"/>
          <w:szCs w:val="28"/>
        </w:rPr>
        <w:t xml:space="preserve">to </w:t>
      </w:r>
      <w:r w:rsidR="00817DD0" w:rsidRPr="002A25EE">
        <w:rPr>
          <w:rFonts w:asciiTheme="majorHAnsi" w:hAnsiTheme="majorHAnsi"/>
          <w:sz w:val="28"/>
          <w:szCs w:val="28"/>
        </w:rPr>
        <w:t>spen</w:t>
      </w:r>
      <w:r w:rsidR="00095D1D">
        <w:rPr>
          <w:rFonts w:asciiTheme="majorHAnsi" w:hAnsiTheme="majorHAnsi"/>
          <w:sz w:val="28"/>
          <w:szCs w:val="28"/>
        </w:rPr>
        <w:t>d</w:t>
      </w:r>
      <w:r w:rsidR="00817DD0" w:rsidRPr="002A25EE">
        <w:rPr>
          <w:rFonts w:asciiTheme="majorHAnsi" w:hAnsiTheme="majorHAnsi"/>
          <w:sz w:val="28"/>
          <w:szCs w:val="28"/>
        </w:rPr>
        <w:t xml:space="preserve"> on their students than dis</w:t>
      </w:r>
      <w:r w:rsidR="006A4F1A">
        <w:rPr>
          <w:rFonts w:asciiTheme="majorHAnsi" w:hAnsiTheme="majorHAnsi"/>
          <w:sz w:val="28"/>
          <w:szCs w:val="28"/>
        </w:rPr>
        <w:t>tricts with tax burdens half the</w:t>
      </w:r>
      <w:r w:rsidR="00817DD0" w:rsidRPr="002A25EE">
        <w:rPr>
          <w:rFonts w:asciiTheme="majorHAnsi" w:hAnsiTheme="majorHAnsi"/>
          <w:sz w:val="28"/>
          <w:szCs w:val="28"/>
        </w:rPr>
        <w:t xml:space="preserve"> amount. </w:t>
      </w:r>
    </w:p>
    <w:p w:rsidR="00817DD0" w:rsidRPr="002A25EE" w:rsidRDefault="00817DD0" w:rsidP="0063333A">
      <w:pPr>
        <w:ind w:firstLine="720"/>
        <w:rPr>
          <w:rFonts w:asciiTheme="majorHAnsi" w:hAnsiTheme="majorHAnsi"/>
          <w:b/>
          <w:sz w:val="28"/>
          <w:szCs w:val="28"/>
        </w:rPr>
      </w:pPr>
      <w:r w:rsidRPr="002A25EE">
        <w:rPr>
          <w:rFonts w:asciiTheme="majorHAnsi" w:hAnsiTheme="majorHAnsi"/>
          <w:b/>
          <w:sz w:val="28"/>
          <w:szCs w:val="28"/>
        </w:rPr>
        <w:t xml:space="preserve">The reasons for these  multiple failures are simple: </w:t>
      </w:r>
    </w:p>
    <w:p w:rsidR="00817DD0" w:rsidRDefault="0063333A" w:rsidP="00817DD0">
      <w:pPr>
        <w:ind w:firstLine="720"/>
        <w:rPr>
          <w:rFonts w:asciiTheme="majorHAnsi" w:hAnsiTheme="majorHAnsi"/>
          <w:b/>
          <w:sz w:val="28"/>
          <w:szCs w:val="28"/>
        </w:rPr>
      </w:pPr>
      <w:r>
        <w:rPr>
          <w:rFonts w:asciiTheme="majorHAnsi" w:hAnsiTheme="majorHAnsi"/>
          <w:b/>
          <w:sz w:val="28"/>
          <w:szCs w:val="28"/>
        </w:rPr>
        <w:t>1.</w:t>
      </w:r>
      <w:r w:rsidR="00817DD0" w:rsidRPr="002A25EE">
        <w:rPr>
          <w:rFonts w:asciiTheme="majorHAnsi" w:hAnsiTheme="majorHAnsi"/>
          <w:b/>
          <w:sz w:val="28"/>
          <w:szCs w:val="28"/>
        </w:rPr>
        <w:t xml:space="preserve">  </w:t>
      </w:r>
      <w:r w:rsidR="00331624">
        <w:rPr>
          <w:rFonts w:asciiTheme="majorHAnsi" w:hAnsiTheme="majorHAnsi"/>
          <w:b/>
          <w:sz w:val="28"/>
          <w:szCs w:val="28"/>
        </w:rPr>
        <w:t>T</w:t>
      </w:r>
      <w:r w:rsidR="00817DD0" w:rsidRPr="002A25EE">
        <w:rPr>
          <w:rFonts w:asciiTheme="majorHAnsi" w:hAnsiTheme="majorHAnsi"/>
          <w:b/>
          <w:sz w:val="28"/>
          <w:szCs w:val="28"/>
        </w:rPr>
        <w:t>oo</w:t>
      </w:r>
      <w:r w:rsidR="00874858">
        <w:rPr>
          <w:rFonts w:asciiTheme="majorHAnsi" w:hAnsiTheme="majorHAnsi"/>
          <w:b/>
          <w:sz w:val="28"/>
          <w:szCs w:val="28"/>
        </w:rPr>
        <w:t xml:space="preserve"> few state dollars result in too</w:t>
      </w:r>
      <w:r w:rsidR="00817DD0" w:rsidRPr="002A25EE">
        <w:rPr>
          <w:rFonts w:asciiTheme="majorHAnsi" w:hAnsiTheme="majorHAnsi"/>
          <w:b/>
          <w:sz w:val="28"/>
          <w:szCs w:val="28"/>
        </w:rPr>
        <w:t xml:space="preserve"> high reliance on local dollars</w:t>
      </w:r>
      <w:r w:rsidR="00331624">
        <w:rPr>
          <w:rFonts w:asciiTheme="majorHAnsi" w:hAnsiTheme="majorHAnsi"/>
          <w:b/>
          <w:sz w:val="28"/>
          <w:szCs w:val="28"/>
        </w:rPr>
        <w:t>;</w:t>
      </w:r>
    </w:p>
    <w:p w:rsidR="00874858" w:rsidRPr="00874858" w:rsidRDefault="00874858" w:rsidP="00874858">
      <w:pPr>
        <w:pStyle w:val="ListParagraph"/>
        <w:numPr>
          <w:ilvl w:val="0"/>
          <w:numId w:val="1"/>
        </w:numPr>
        <w:rPr>
          <w:rFonts w:asciiTheme="majorHAnsi" w:hAnsiTheme="majorHAnsi"/>
          <w:b/>
          <w:sz w:val="28"/>
          <w:szCs w:val="28"/>
        </w:rPr>
      </w:pPr>
      <w:r>
        <w:rPr>
          <w:rFonts w:asciiTheme="majorHAnsi" w:hAnsiTheme="majorHAnsi"/>
          <w:b/>
          <w:sz w:val="28"/>
          <w:szCs w:val="28"/>
        </w:rPr>
        <w:t>The system  does not take into account how much it costs to educate children.</w:t>
      </w:r>
    </w:p>
    <w:p w:rsidR="00817DD0" w:rsidRPr="002A25EE" w:rsidRDefault="00874858" w:rsidP="00817DD0">
      <w:pPr>
        <w:ind w:firstLine="720"/>
        <w:rPr>
          <w:rFonts w:asciiTheme="majorHAnsi" w:hAnsiTheme="majorHAnsi"/>
          <w:b/>
          <w:sz w:val="28"/>
          <w:szCs w:val="28"/>
        </w:rPr>
      </w:pPr>
      <w:r>
        <w:rPr>
          <w:rFonts w:asciiTheme="majorHAnsi" w:hAnsiTheme="majorHAnsi"/>
          <w:b/>
          <w:sz w:val="28"/>
          <w:szCs w:val="28"/>
        </w:rPr>
        <w:t>3</w:t>
      </w:r>
      <w:r w:rsidR="0063333A">
        <w:rPr>
          <w:rFonts w:asciiTheme="majorHAnsi" w:hAnsiTheme="majorHAnsi"/>
          <w:b/>
          <w:sz w:val="28"/>
          <w:szCs w:val="28"/>
        </w:rPr>
        <w:t xml:space="preserve">.  </w:t>
      </w:r>
      <w:r>
        <w:rPr>
          <w:rFonts w:asciiTheme="majorHAnsi" w:hAnsiTheme="majorHAnsi"/>
          <w:b/>
          <w:sz w:val="28"/>
          <w:szCs w:val="28"/>
        </w:rPr>
        <w:t>S</w:t>
      </w:r>
      <w:r w:rsidR="00817DD0" w:rsidRPr="002A25EE">
        <w:rPr>
          <w:rFonts w:asciiTheme="majorHAnsi" w:hAnsiTheme="majorHAnsi"/>
          <w:b/>
          <w:sz w:val="28"/>
          <w:szCs w:val="28"/>
        </w:rPr>
        <w:t>tate  dollars</w:t>
      </w:r>
      <w:r>
        <w:rPr>
          <w:rFonts w:asciiTheme="majorHAnsi" w:hAnsiTheme="majorHAnsi"/>
          <w:b/>
          <w:sz w:val="28"/>
          <w:szCs w:val="28"/>
        </w:rPr>
        <w:t xml:space="preserve"> are distributed</w:t>
      </w:r>
      <w:r w:rsidR="00817DD0" w:rsidRPr="002A25EE">
        <w:rPr>
          <w:rFonts w:asciiTheme="majorHAnsi" w:hAnsiTheme="majorHAnsi"/>
          <w:b/>
          <w:sz w:val="28"/>
          <w:szCs w:val="28"/>
        </w:rPr>
        <w:t xml:space="preserve"> on a basis which does not reflect the</w:t>
      </w:r>
      <w:r w:rsidR="00037298">
        <w:rPr>
          <w:rFonts w:asciiTheme="majorHAnsi" w:hAnsiTheme="majorHAnsi"/>
          <w:b/>
          <w:sz w:val="28"/>
          <w:szCs w:val="28"/>
        </w:rPr>
        <w:t xml:space="preserve"> tax effort of the district</w:t>
      </w:r>
      <w:r w:rsidR="00817DD0" w:rsidRPr="002A25EE">
        <w:rPr>
          <w:rFonts w:asciiTheme="majorHAnsi" w:hAnsiTheme="majorHAnsi"/>
          <w:b/>
          <w:sz w:val="28"/>
          <w:szCs w:val="28"/>
        </w:rPr>
        <w:t>.</w:t>
      </w:r>
    </w:p>
    <w:p w:rsidR="00817DD0" w:rsidRDefault="00037298" w:rsidP="000D4AC8">
      <w:pPr>
        <w:spacing w:line="360" w:lineRule="auto"/>
        <w:ind w:firstLine="720"/>
        <w:rPr>
          <w:rFonts w:asciiTheme="majorHAnsi" w:hAnsiTheme="majorHAnsi"/>
          <w:b/>
          <w:sz w:val="28"/>
          <w:szCs w:val="28"/>
        </w:rPr>
      </w:pPr>
      <w:r w:rsidRPr="00037298">
        <w:rPr>
          <w:rFonts w:asciiTheme="majorHAnsi" w:hAnsiTheme="majorHAnsi"/>
          <w:b/>
          <w:sz w:val="28"/>
          <w:szCs w:val="28"/>
          <w:u w:val="single"/>
        </w:rPr>
        <w:lastRenderedPageBreak/>
        <w:t>Too few state dollars result in too high reliance on local dollars.</w:t>
      </w:r>
      <w:r>
        <w:rPr>
          <w:rFonts w:asciiTheme="majorHAnsi" w:hAnsiTheme="majorHAnsi"/>
          <w:b/>
          <w:sz w:val="28"/>
          <w:szCs w:val="28"/>
        </w:rPr>
        <w:t xml:space="preserve"> </w:t>
      </w:r>
      <w:r w:rsidR="00817DD0" w:rsidRPr="002A25EE">
        <w:rPr>
          <w:rFonts w:asciiTheme="majorHAnsi" w:hAnsiTheme="majorHAnsi"/>
          <w:sz w:val="28"/>
          <w:szCs w:val="28"/>
        </w:rPr>
        <w:t xml:space="preserve">On the first count, Pennsylvania has been an outlier on its state appropriation to K-12 education for at least 15 years, always in the lowest </w:t>
      </w:r>
      <w:r w:rsidR="00A25880" w:rsidRPr="002A25EE">
        <w:rPr>
          <w:rFonts w:asciiTheme="majorHAnsi" w:hAnsiTheme="majorHAnsi"/>
          <w:sz w:val="28"/>
          <w:szCs w:val="28"/>
        </w:rPr>
        <w:t xml:space="preserve">10 states, and sometimes in the lowest three.  That means </w:t>
      </w:r>
      <w:r w:rsidR="00874858">
        <w:rPr>
          <w:rFonts w:asciiTheme="majorHAnsi" w:hAnsiTheme="majorHAnsi"/>
          <w:sz w:val="28"/>
          <w:szCs w:val="28"/>
        </w:rPr>
        <w:t xml:space="preserve">the burden of funding schools falls heavily </w:t>
      </w:r>
      <w:r w:rsidR="00A25880" w:rsidRPr="002A25EE">
        <w:rPr>
          <w:rFonts w:asciiTheme="majorHAnsi" w:hAnsiTheme="majorHAnsi"/>
          <w:sz w:val="28"/>
          <w:szCs w:val="28"/>
        </w:rPr>
        <w:t>on districts with vastly different wealth</w:t>
      </w:r>
      <w:r w:rsidR="00874858">
        <w:rPr>
          <w:rFonts w:asciiTheme="majorHAnsi" w:hAnsiTheme="majorHAnsi"/>
          <w:sz w:val="28"/>
          <w:szCs w:val="28"/>
        </w:rPr>
        <w:t xml:space="preserve">.  </w:t>
      </w:r>
      <w:r w:rsidR="00874858" w:rsidRPr="00DA39E5">
        <w:rPr>
          <w:rFonts w:asciiTheme="majorHAnsi" w:hAnsiTheme="majorHAnsi"/>
          <w:b/>
          <w:sz w:val="28"/>
          <w:szCs w:val="28"/>
        </w:rPr>
        <w:t xml:space="preserve">And there are simply </w:t>
      </w:r>
      <w:r w:rsidR="00A25880" w:rsidRPr="00DA39E5">
        <w:rPr>
          <w:rFonts w:asciiTheme="majorHAnsi" w:hAnsiTheme="majorHAnsi"/>
          <w:b/>
          <w:sz w:val="28"/>
          <w:szCs w:val="28"/>
        </w:rPr>
        <w:t xml:space="preserve">not enough state dollars to level the </w:t>
      </w:r>
      <w:r w:rsidR="00874858" w:rsidRPr="00DA39E5">
        <w:rPr>
          <w:rFonts w:asciiTheme="majorHAnsi" w:hAnsiTheme="majorHAnsi"/>
          <w:b/>
          <w:sz w:val="28"/>
          <w:szCs w:val="28"/>
        </w:rPr>
        <w:t xml:space="preserve">differences out. </w:t>
      </w:r>
    </w:p>
    <w:p w:rsidR="00AA52D6" w:rsidRDefault="00AA52D6" w:rsidP="000D4AC8">
      <w:pPr>
        <w:spacing w:line="360" w:lineRule="auto"/>
        <w:ind w:firstLine="720"/>
        <w:rPr>
          <w:rFonts w:asciiTheme="majorHAnsi" w:hAnsiTheme="majorHAnsi"/>
          <w:sz w:val="28"/>
          <w:szCs w:val="28"/>
        </w:rPr>
      </w:pPr>
      <w:r>
        <w:rPr>
          <w:rFonts w:asciiTheme="majorHAnsi" w:hAnsiTheme="majorHAnsi"/>
          <w:sz w:val="28"/>
          <w:szCs w:val="28"/>
        </w:rPr>
        <w:t>Example: Colonial SD raises $$17,455 per student locally with a tax rate equivalent to 12.4</w:t>
      </w:r>
      <w:r w:rsidR="000119CD">
        <w:rPr>
          <w:rFonts w:asciiTheme="majorHAnsi" w:hAnsiTheme="majorHAnsi"/>
          <w:sz w:val="28"/>
          <w:szCs w:val="28"/>
        </w:rPr>
        <w:t xml:space="preserve"> equalized</w:t>
      </w:r>
      <w:r>
        <w:rPr>
          <w:rFonts w:asciiTheme="majorHAnsi" w:hAnsiTheme="majorHAnsi"/>
          <w:sz w:val="28"/>
          <w:szCs w:val="28"/>
        </w:rPr>
        <w:t xml:space="preserve"> mills of tax effort and Perkiomen, in th</w:t>
      </w:r>
      <w:r w:rsidR="00FF4F76">
        <w:rPr>
          <w:rFonts w:asciiTheme="majorHAnsi" w:hAnsiTheme="majorHAnsi"/>
          <w:sz w:val="28"/>
          <w:szCs w:val="28"/>
        </w:rPr>
        <w:t>e same county with a tax rate 82</w:t>
      </w:r>
      <w:r>
        <w:rPr>
          <w:rFonts w:asciiTheme="majorHAnsi" w:hAnsiTheme="majorHAnsi"/>
          <w:sz w:val="28"/>
          <w:szCs w:val="28"/>
        </w:rPr>
        <w:t xml:space="preserve"> percent higher at 22.5</w:t>
      </w:r>
      <w:r w:rsidR="000119CD">
        <w:rPr>
          <w:rFonts w:asciiTheme="majorHAnsi" w:hAnsiTheme="majorHAnsi"/>
          <w:sz w:val="28"/>
          <w:szCs w:val="28"/>
        </w:rPr>
        <w:t xml:space="preserve"> equalized</w:t>
      </w:r>
      <w:r>
        <w:rPr>
          <w:rFonts w:asciiTheme="majorHAnsi" w:hAnsiTheme="majorHAnsi"/>
          <w:sz w:val="28"/>
          <w:szCs w:val="28"/>
        </w:rPr>
        <w:t xml:space="preserve"> mills </w:t>
      </w:r>
      <w:r w:rsidR="00FF4F76">
        <w:rPr>
          <w:rFonts w:asciiTheme="majorHAnsi" w:hAnsiTheme="majorHAnsi"/>
          <w:sz w:val="28"/>
          <w:szCs w:val="28"/>
        </w:rPr>
        <w:t xml:space="preserve">of tax effort raises only $11,909 per student. </w:t>
      </w:r>
      <w:r w:rsidR="006B0EE7">
        <w:rPr>
          <w:rFonts w:asciiTheme="majorHAnsi" w:hAnsiTheme="majorHAnsi"/>
          <w:sz w:val="28"/>
          <w:szCs w:val="28"/>
        </w:rPr>
        <w:t>The state contribution does not correct for this imbalance.</w:t>
      </w:r>
    </w:p>
    <w:p w:rsidR="006B0EE7" w:rsidRDefault="006B0EE7" w:rsidP="000D4AC8">
      <w:pPr>
        <w:spacing w:line="360" w:lineRule="auto"/>
        <w:ind w:firstLine="720"/>
        <w:rPr>
          <w:rFonts w:asciiTheme="majorHAnsi" w:hAnsiTheme="majorHAnsi"/>
          <w:sz w:val="28"/>
          <w:szCs w:val="28"/>
        </w:rPr>
      </w:pPr>
    </w:p>
    <w:tbl>
      <w:tblPr>
        <w:tblStyle w:val="TableGrid"/>
        <w:tblW w:w="9466" w:type="dxa"/>
        <w:tblLook w:val="04A0"/>
      </w:tblPr>
      <w:tblGrid>
        <w:gridCol w:w="2366"/>
        <w:gridCol w:w="2366"/>
        <w:gridCol w:w="2367"/>
        <w:gridCol w:w="2367"/>
      </w:tblGrid>
      <w:tr w:rsidR="00AA52D6" w:rsidRPr="009C1784" w:rsidTr="006B0EE7">
        <w:trPr>
          <w:trHeight w:val="354"/>
        </w:trPr>
        <w:tc>
          <w:tcPr>
            <w:tcW w:w="2366" w:type="dxa"/>
          </w:tcPr>
          <w:p w:rsidR="00AA52D6" w:rsidRPr="009C1784" w:rsidRDefault="00AA52D6" w:rsidP="00BB5E04">
            <w:pPr>
              <w:rPr>
                <w:sz w:val="28"/>
                <w:szCs w:val="28"/>
              </w:rPr>
            </w:pPr>
          </w:p>
        </w:tc>
        <w:tc>
          <w:tcPr>
            <w:tcW w:w="2366" w:type="dxa"/>
          </w:tcPr>
          <w:p w:rsidR="00AA52D6" w:rsidRPr="009C1784" w:rsidRDefault="00AA52D6" w:rsidP="00BB5E04">
            <w:pPr>
              <w:rPr>
                <w:sz w:val="28"/>
                <w:szCs w:val="28"/>
              </w:rPr>
            </w:pPr>
            <w:r w:rsidRPr="009C1784">
              <w:rPr>
                <w:sz w:val="28"/>
                <w:szCs w:val="28"/>
              </w:rPr>
              <w:t>Colonial</w:t>
            </w:r>
          </w:p>
        </w:tc>
        <w:tc>
          <w:tcPr>
            <w:tcW w:w="2367" w:type="dxa"/>
          </w:tcPr>
          <w:p w:rsidR="00AA52D6" w:rsidRPr="009C1784" w:rsidRDefault="00AA52D6" w:rsidP="00BB5E04">
            <w:pPr>
              <w:rPr>
                <w:sz w:val="28"/>
                <w:szCs w:val="28"/>
              </w:rPr>
            </w:pPr>
            <w:r w:rsidRPr="009C1784">
              <w:rPr>
                <w:sz w:val="28"/>
                <w:szCs w:val="28"/>
              </w:rPr>
              <w:t>Perkiomen</w:t>
            </w:r>
            <w:r w:rsidR="00B0261A">
              <w:rPr>
                <w:sz w:val="28"/>
                <w:szCs w:val="28"/>
              </w:rPr>
              <w:t xml:space="preserve"> Valley</w:t>
            </w:r>
          </w:p>
        </w:tc>
        <w:tc>
          <w:tcPr>
            <w:tcW w:w="2367" w:type="dxa"/>
          </w:tcPr>
          <w:p w:rsidR="00433ACA" w:rsidRPr="009C1784" w:rsidRDefault="00433ACA" w:rsidP="00BB5E04">
            <w:pPr>
              <w:rPr>
                <w:sz w:val="28"/>
                <w:szCs w:val="28"/>
              </w:rPr>
            </w:pPr>
            <w:r>
              <w:rPr>
                <w:sz w:val="28"/>
                <w:szCs w:val="28"/>
              </w:rPr>
              <w:t>Reading</w:t>
            </w:r>
          </w:p>
        </w:tc>
      </w:tr>
      <w:tr w:rsidR="00AA52D6" w:rsidRPr="009C1784" w:rsidTr="006B0EE7">
        <w:trPr>
          <w:trHeight w:val="370"/>
        </w:trPr>
        <w:tc>
          <w:tcPr>
            <w:tcW w:w="2366" w:type="dxa"/>
          </w:tcPr>
          <w:p w:rsidR="00AA52D6" w:rsidRPr="009C1784" w:rsidRDefault="00AA52D6" w:rsidP="00BB5E04">
            <w:pPr>
              <w:rPr>
                <w:sz w:val="28"/>
                <w:szCs w:val="28"/>
              </w:rPr>
            </w:pPr>
            <w:r w:rsidRPr="009C1784">
              <w:rPr>
                <w:sz w:val="28"/>
                <w:szCs w:val="28"/>
              </w:rPr>
              <w:t>Local Tax Rate</w:t>
            </w:r>
          </w:p>
        </w:tc>
        <w:tc>
          <w:tcPr>
            <w:tcW w:w="2366" w:type="dxa"/>
          </w:tcPr>
          <w:p w:rsidR="00AA52D6" w:rsidRPr="009C1784" w:rsidRDefault="00AA52D6" w:rsidP="00BB5E04">
            <w:pPr>
              <w:rPr>
                <w:sz w:val="28"/>
                <w:szCs w:val="28"/>
              </w:rPr>
            </w:pPr>
            <w:r w:rsidRPr="009C1784">
              <w:rPr>
                <w:sz w:val="28"/>
                <w:szCs w:val="28"/>
              </w:rPr>
              <w:t>12.4 mills</w:t>
            </w:r>
          </w:p>
        </w:tc>
        <w:tc>
          <w:tcPr>
            <w:tcW w:w="2367" w:type="dxa"/>
          </w:tcPr>
          <w:p w:rsidR="00AA52D6" w:rsidRPr="009C1784" w:rsidRDefault="00AA52D6" w:rsidP="00BB5E04">
            <w:pPr>
              <w:rPr>
                <w:sz w:val="28"/>
                <w:szCs w:val="28"/>
              </w:rPr>
            </w:pPr>
            <w:r w:rsidRPr="009C1784">
              <w:rPr>
                <w:sz w:val="28"/>
                <w:szCs w:val="28"/>
              </w:rPr>
              <w:t>22.5 mills</w:t>
            </w:r>
          </w:p>
        </w:tc>
        <w:tc>
          <w:tcPr>
            <w:tcW w:w="2367" w:type="dxa"/>
          </w:tcPr>
          <w:p w:rsidR="00AA52D6" w:rsidRPr="009C1784" w:rsidRDefault="00433ACA" w:rsidP="00BB5E04">
            <w:pPr>
              <w:rPr>
                <w:sz w:val="28"/>
                <w:szCs w:val="28"/>
              </w:rPr>
            </w:pPr>
            <w:r>
              <w:rPr>
                <w:sz w:val="28"/>
                <w:szCs w:val="28"/>
              </w:rPr>
              <w:t>22.1</w:t>
            </w:r>
            <w:r w:rsidR="00AA52D6" w:rsidRPr="009C1784">
              <w:rPr>
                <w:sz w:val="28"/>
                <w:szCs w:val="28"/>
              </w:rPr>
              <w:t xml:space="preserve"> mills</w:t>
            </w:r>
          </w:p>
        </w:tc>
      </w:tr>
      <w:tr w:rsidR="00AA52D6" w:rsidRPr="009C1784" w:rsidTr="006B0EE7">
        <w:trPr>
          <w:trHeight w:val="354"/>
        </w:trPr>
        <w:tc>
          <w:tcPr>
            <w:tcW w:w="2366" w:type="dxa"/>
          </w:tcPr>
          <w:p w:rsidR="00AA52D6" w:rsidRPr="009C1784" w:rsidRDefault="00AA52D6" w:rsidP="00BB5E04">
            <w:pPr>
              <w:rPr>
                <w:sz w:val="28"/>
                <w:szCs w:val="28"/>
              </w:rPr>
            </w:pPr>
            <w:r w:rsidRPr="009C1784">
              <w:rPr>
                <w:sz w:val="28"/>
                <w:szCs w:val="28"/>
              </w:rPr>
              <w:t>Local Taxes Raised</w:t>
            </w:r>
          </w:p>
        </w:tc>
        <w:tc>
          <w:tcPr>
            <w:tcW w:w="2366" w:type="dxa"/>
          </w:tcPr>
          <w:p w:rsidR="00AA52D6" w:rsidRPr="009C1784" w:rsidRDefault="00AA52D6" w:rsidP="00BB5E04">
            <w:pPr>
              <w:rPr>
                <w:sz w:val="28"/>
                <w:szCs w:val="28"/>
              </w:rPr>
            </w:pPr>
            <w:r w:rsidRPr="009C1784">
              <w:rPr>
                <w:sz w:val="28"/>
                <w:szCs w:val="28"/>
              </w:rPr>
              <w:t>$ 17,455</w:t>
            </w:r>
          </w:p>
        </w:tc>
        <w:tc>
          <w:tcPr>
            <w:tcW w:w="2367" w:type="dxa"/>
          </w:tcPr>
          <w:p w:rsidR="00AA52D6" w:rsidRPr="009C1784" w:rsidRDefault="00AA52D6" w:rsidP="00BB5E04">
            <w:pPr>
              <w:rPr>
                <w:sz w:val="28"/>
                <w:szCs w:val="28"/>
              </w:rPr>
            </w:pPr>
            <w:r w:rsidRPr="009C1784">
              <w:rPr>
                <w:sz w:val="28"/>
                <w:szCs w:val="28"/>
              </w:rPr>
              <w:t>$ 11,909</w:t>
            </w:r>
          </w:p>
        </w:tc>
        <w:tc>
          <w:tcPr>
            <w:tcW w:w="2367" w:type="dxa"/>
          </w:tcPr>
          <w:p w:rsidR="00AA52D6" w:rsidRPr="009C1784" w:rsidRDefault="00AA52D6" w:rsidP="00433ACA">
            <w:pPr>
              <w:rPr>
                <w:sz w:val="28"/>
                <w:szCs w:val="28"/>
              </w:rPr>
            </w:pPr>
            <w:r w:rsidRPr="009C1784">
              <w:rPr>
                <w:sz w:val="28"/>
                <w:szCs w:val="28"/>
              </w:rPr>
              <w:t xml:space="preserve">$ </w:t>
            </w:r>
            <w:r w:rsidR="00433ACA">
              <w:rPr>
                <w:sz w:val="28"/>
                <w:szCs w:val="28"/>
              </w:rPr>
              <w:t xml:space="preserve"> 2,155</w:t>
            </w:r>
          </w:p>
        </w:tc>
      </w:tr>
      <w:tr w:rsidR="00AA52D6" w:rsidRPr="009C1784" w:rsidTr="006B0EE7">
        <w:trPr>
          <w:trHeight w:val="370"/>
        </w:trPr>
        <w:tc>
          <w:tcPr>
            <w:tcW w:w="2366" w:type="dxa"/>
          </w:tcPr>
          <w:p w:rsidR="00AA52D6" w:rsidRPr="009C1784" w:rsidRDefault="00AA52D6" w:rsidP="00BB5E04">
            <w:pPr>
              <w:rPr>
                <w:sz w:val="28"/>
                <w:szCs w:val="28"/>
              </w:rPr>
            </w:pPr>
            <w:r w:rsidRPr="009C1784">
              <w:rPr>
                <w:sz w:val="28"/>
                <w:szCs w:val="28"/>
              </w:rPr>
              <w:t>State Contribution</w:t>
            </w:r>
          </w:p>
        </w:tc>
        <w:tc>
          <w:tcPr>
            <w:tcW w:w="2366" w:type="dxa"/>
          </w:tcPr>
          <w:p w:rsidR="00AA52D6" w:rsidRPr="009C1784" w:rsidRDefault="00AA52D6" w:rsidP="00BB5E04">
            <w:pPr>
              <w:rPr>
                <w:sz w:val="28"/>
                <w:szCs w:val="28"/>
              </w:rPr>
            </w:pPr>
            <w:r w:rsidRPr="009C1784">
              <w:rPr>
                <w:sz w:val="28"/>
                <w:szCs w:val="28"/>
              </w:rPr>
              <w:t>$  2,941</w:t>
            </w:r>
          </w:p>
        </w:tc>
        <w:tc>
          <w:tcPr>
            <w:tcW w:w="2367" w:type="dxa"/>
          </w:tcPr>
          <w:p w:rsidR="00AA52D6" w:rsidRPr="009C1784" w:rsidRDefault="00AA52D6" w:rsidP="00BB5E04">
            <w:pPr>
              <w:rPr>
                <w:sz w:val="28"/>
                <w:szCs w:val="28"/>
              </w:rPr>
            </w:pPr>
            <w:r w:rsidRPr="009C1784">
              <w:rPr>
                <w:sz w:val="28"/>
                <w:szCs w:val="28"/>
              </w:rPr>
              <w:t>$ 2,827</w:t>
            </w:r>
          </w:p>
        </w:tc>
        <w:tc>
          <w:tcPr>
            <w:tcW w:w="2367" w:type="dxa"/>
          </w:tcPr>
          <w:p w:rsidR="00AA52D6" w:rsidRPr="009C1784" w:rsidRDefault="00433ACA" w:rsidP="00BB5E04">
            <w:pPr>
              <w:rPr>
                <w:sz w:val="28"/>
                <w:szCs w:val="28"/>
              </w:rPr>
            </w:pPr>
            <w:r>
              <w:rPr>
                <w:sz w:val="28"/>
                <w:szCs w:val="28"/>
              </w:rPr>
              <w:t>$  8,346</w:t>
            </w:r>
          </w:p>
        </w:tc>
      </w:tr>
      <w:tr w:rsidR="00AA52D6" w:rsidRPr="009C1784" w:rsidTr="006B0EE7">
        <w:trPr>
          <w:trHeight w:val="354"/>
        </w:trPr>
        <w:tc>
          <w:tcPr>
            <w:tcW w:w="2366" w:type="dxa"/>
          </w:tcPr>
          <w:p w:rsidR="00AA52D6" w:rsidRPr="009C1784" w:rsidRDefault="00AA52D6" w:rsidP="00BB5E04">
            <w:pPr>
              <w:rPr>
                <w:sz w:val="28"/>
                <w:szCs w:val="28"/>
              </w:rPr>
            </w:pPr>
            <w:r w:rsidRPr="009C1784">
              <w:rPr>
                <w:sz w:val="28"/>
                <w:szCs w:val="28"/>
              </w:rPr>
              <w:t>Total Available</w:t>
            </w:r>
          </w:p>
        </w:tc>
        <w:tc>
          <w:tcPr>
            <w:tcW w:w="2366" w:type="dxa"/>
          </w:tcPr>
          <w:p w:rsidR="00AA52D6" w:rsidRPr="009C1784" w:rsidRDefault="00AA52D6" w:rsidP="00BB5E04">
            <w:pPr>
              <w:rPr>
                <w:sz w:val="28"/>
                <w:szCs w:val="28"/>
              </w:rPr>
            </w:pPr>
            <w:r w:rsidRPr="009C1784">
              <w:rPr>
                <w:sz w:val="28"/>
                <w:szCs w:val="28"/>
              </w:rPr>
              <w:t>$20,396</w:t>
            </w:r>
          </w:p>
        </w:tc>
        <w:tc>
          <w:tcPr>
            <w:tcW w:w="2367" w:type="dxa"/>
          </w:tcPr>
          <w:p w:rsidR="00AA52D6" w:rsidRPr="009C1784" w:rsidRDefault="00AA52D6" w:rsidP="00BB5E04">
            <w:pPr>
              <w:rPr>
                <w:sz w:val="28"/>
                <w:szCs w:val="28"/>
              </w:rPr>
            </w:pPr>
            <w:r w:rsidRPr="009C1784">
              <w:rPr>
                <w:sz w:val="28"/>
                <w:szCs w:val="28"/>
              </w:rPr>
              <w:t>$14,736</w:t>
            </w:r>
          </w:p>
        </w:tc>
        <w:tc>
          <w:tcPr>
            <w:tcW w:w="2367" w:type="dxa"/>
          </w:tcPr>
          <w:p w:rsidR="00AA52D6" w:rsidRPr="009C1784" w:rsidRDefault="00433ACA" w:rsidP="00BB5E04">
            <w:pPr>
              <w:rPr>
                <w:sz w:val="28"/>
                <w:szCs w:val="28"/>
              </w:rPr>
            </w:pPr>
            <w:r>
              <w:rPr>
                <w:sz w:val="28"/>
                <w:szCs w:val="28"/>
              </w:rPr>
              <w:t>$ 10,501</w:t>
            </w:r>
          </w:p>
        </w:tc>
      </w:tr>
      <w:tr w:rsidR="00AA52D6" w:rsidRPr="009C1784" w:rsidTr="006B0EE7">
        <w:trPr>
          <w:trHeight w:val="724"/>
        </w:trPr>
        <w:tc>
          <w:tcPr>
            <w:tcW w:w="2366" w:type="dxa"/>
          </w:tcPr>
          <w:p w:rsidR="00AA52D6" w:rsidRPr="009C1784" w:rsidRDefault="00AA52D6" w:rsidP="00BB5E04">
            <w:pPr>
              <w:rPr>
                <w:sz w:val="28"/>
                <w:szCs w:val="28"/>
              </w:rPr>
            </w:pPr>
            <w:r w:rsidRPr="009C1784">
              <w:rPr>
                <w:sz w:val="28"/>
                <w:szCs w:val="28"/>
              </w:rPr>
              <w:t>Remaining Difference</w:t>
            </w:r>
          </w:p>
        </w:tc>
        <w:tc>
          <w:tcPr>
            <w:tcW w:w="2366" w:type="dxa"/>
          </w:tcPr>
          <w:p w:rsidR="00AA52D6" w:rsidRPr="009C1784" w:rsidRDefault="00AA52D6" w:rsidP="00BB5E04">
            <w:pPr>
              <w:rPr>
                <w:sz w:val="28"/>
                <w:szCs w:val="28"/>
              </w:rPr>
            </w:pPr>
          </w:p>
        </w:tc>
        <w:tc>
          <w:tcPr>
            <w:tcW w:w="2367" w:type="dxa"/>
          </w:tcPr>
          <w:p w:rsidR="00AA52D6" w:rsidRPr="009C1784" w:rsidRDefault="00AA52D6" w:rsidP="00BB5E04">
            <w:pPr>
              <w:rPr>
                <w:sz w:val="28"/>
                <w:szCs w:val="28"/>
              </w:rPr>
            </w:pPr>
            <w:r w:rsidRPr="009C1784">
              <w:rPr>
                <w:sz w:val="28"/>
                <w:szCs w:val="28"/>
              </w:rPr>
              <w:t>--$5,660</w:t>
            </w:r>
          </w:p>
        </w:tc>
        <w:tc>
          <w:tcPr>
            <w:tcW w:w="2367" w:type="dxa"/>
          </w:tcPr>
          <w:p w:rsidR="00AA52D6" w:rsidRPr="009C1784" w:rsidRDefault="00433ACA" w:rsidP="00433ACA">
            <w:pPr>
              <w:rPr>
                <w:sz w:val="28"/>
                <w:szCs w:val="28"/>
              </w:rPr>
            </w:pPr>
            <w:r>
              <w:rPr>
                <w:sz w:val="28"/>
                <w:szCs w:val="28"/>
              </w:rPr>
              <w:t>--$9,895</w:t>
            </w:r>
          </w:p>
        </w:tc>
      </w:tr>
    </w:tbl>
    <w:p w:rsidR="00AA52D6" w:rsidRPr="00AA52D6" w:rsidRDefault="00AA52D6" w:rsidP="000D4AC8">
      <w:pPr>
        <w:spacing w:line="360" w:lineRule="auto"/>
        <w:ind w:firstLine="720"/>
        <w:rPr>
          <w:rFonts w:asciiTheme="majorHAnsi" w:hAnsiTheme="majorHAnsi"/>
          <w:sz w:val="28"/>
          <w:szCs w:val="28"/>
        </w:rPr>
      </w:pPr>
    </w:p>
    <w:p w:rsidR="00037298" w:rsidRDefault="006B0EE7" w:rsidP="00B52C60">
      <w:pPr>
        <w:spacing w:line="360" w:lineRule="auto"/>
        <w:ind w:firstLine="720"/>
        <w:rPr>
          <w:rFonts w:asciiTheme="majorHAnsi" w:hAnsiTheme="majorHAnsi"/>
          <w:sz w:val="28"/>
          <w:szCs w:val="28"/>
        </w:rPr>
      </w:pPr>
      <w:r>
        <w:rPr>
          <w:rFonts w:asciiTheme="majorHAnsi" w:hAnsiTheme="majorHAnsi"/>
          <w:sz w:val="28"/>
          <w:szCs w:val="28"/>
        </w:rPr>
        <w:t>An even more extreme e</w:t>
      </w:r>
      <w:r w:rsidR="00DA39E5">
        <w:rPr>
          <w:rFonts w:asciiTheme="majorHAnsi" w:hAnsiTheme="majorHAnsi"/>
          <w:sz w:val="28"/>
          <w:szCs w:val="28"/>
        </w:rPr>
        <w:t xml:space="preserve">xample: </w:t>
      </w:r>
      <w:r w:rsidR="00874858">
        <w:rPr>
          <w:rFonts w:asciiTheme="majorHAnsi" w:hAnsiTheme="majorHAnsi"/>
          <w:sz w:val="28"/>
          <w:szCs w:val="28"/>
        </w:rPr>
        <w:t xml:space="preserve"> </w:t>
      </w:r>
      <w:r w:rsidR="00550DAC">
        <w:rPr>
          <w:rFonts w:asciiTheme="majorHAnsi" w:hAnsiTheme="majorHAnsi"/>
          <w:sz w:val="28"/>
          <w:szCs w:val="28"/>
        </w:rPr>
        <w:t xml:space="preserve">Reading, with a tax </w:t>
      </w:r>
      <w:r w:rsidR="000119CD">
        <w:rPr>
          <w:rFonts w:asciiTheme="majorHAnsi" w:hAnsiTheme="majorHAnsi"/>
          <w:sz w:val="28"/>
          <w:szCs w:val="28"/>
        </w:rPr>
        <w:t>effort</w:t>
      </w:r>
      <w:r w:rsidR="00550DAC">
        <w:rPr>
          <w:rFonts w:asciiTheme="majorHAnsi" w:hAnsiTheme="majorHAnsi"/>
          <w:sz w:val="28"/>
          <w:szCs w:val="28"/>
        </w:rPr>
        <w:t xml:space="preserve"> at 22.1  </w:t>
      </w:r>
      <w:r w:rsidR="000119CD">
        <w:rPr>
          <w:rFonts w:asciiTheme="majorHAnsi" w:hAnsiTheme="majorHAnsi"/>
          <w:sz w:val="28"/>
          <w:szCs w:val="28"/>
        </w:rPr>
        <w:t xml:space="preserve">equalized </w:t>
      </w:r>
      <w:r w:rsidR="00550DAC">
        <w:rPr>
          <w:rFonts w:asciiTheme="majorHAnsi" w:hAnsiTheme="majorHAnsi"/>
          <w:sz w:val="28"/>
          <w:szCs w:val="28"/>
        </w:rPr>
        <w:t>mills</w:t>
      </w:r>
      <w:r w:rsidR="006A4F1A">
        <w:rPr>
          <w:rFonts w:asciiTheme="majorHAnsi" w:hAnsiTheme="majorHAnsi"/>
          <w:sz w:val="28"/>
          <w:szCs w:val="28"/>
        </w:rPr>
        <w:t xml:space="preserve">  </w:t>
      </w:r>
      <w:r w:rsidR="00550DAC">
        <w:rPr>
          <w:rFonts w:asciiTheme="majorHAnsi" w:hAnsiTheme="majorHAnsi"/>
          <w:sz w:val="28"/>
          <w:szCs w:val="28"/>
        </w:rPr>
        <w:t xml:space="preserve">raises only $2,155 per student. Even though the state gives Reading </w:t>
      </w:r>
      <w:r w:rsidR="00433ACA">
        <w:rPr>
          <w:rFonts w:asciiTheme="majorHAnsi" w:hAnsiTheme="majorHAnsi"/>
          <w:sz w:val="28"/>
          <w:szCs w:val="28"/>
        </w:rPr>
        <w:t>almost</w:t>
      </w:r>
      <w:r w:rsidR="00DC564A">
        <w:rPr>
          <w:rFonts w:asciiTheme="majorHAnsi" w:hAnsiTheme="majorHAnsi"/>
          <w:sz w:val="28"/>
          <w:szCs w:val="28"/>
        </w:rPr>
        <w:t xml:space="preserve"> $6,000 more per student than </w:t>
      </w:r>
      <w:r w:rsidR="00433ACA">
        <w:rPr>
          <w:rFonts w:asciiTheme="majorHAnsi" w:hAnsiTheme="majorHAnsi"/>
          <w:sz w:val="28"/>
          <w:szCs w:val="28"/>
        </w:rPr>
        <w:t>Colonial</w:t>
      </w:r>
      <w:r w:rsidR="00DC564A">
        <w:rPr>
          <w:rFonts w:asciiTheme="majorHAnsi" w:hAnsiTheme="majorHAnsi"/>
          <w:sz w:val="28"/>
          <w:szCs w:val="28"/>
        </w:rPr>
        <w:t xml:space="preserve">,  Reading ends </w:t>
      </w:r>
      <w:r w:rsidR="00433ACA">
        <w:rPr>
          <w:rFonts w:asciiTheme="majorHAnsi" w:hAnsiTheme="majorHAnsi"/>
          <w:sz w:val="28"/>
          <w:szCs w:val="28"/>
        </w:rPr>
        <w:t>up with almost $10,000</w:t>
      </w:r>
      <w:r w:rsidR="00B52C60">
        <w:rPr>
          <w:rFonts w:asciiTheme="majorHAnsi" w:hAnsiTheme="majorHAnsi"/>
          <w:sz w:val="28"/>
          <w:szCs w:val="28"/>
        </w:rPr>
        <w:t xml:space="preserve"> less. </w:t>
      </w:r>
      <w:r w:rsidR="007421DB">
        <w:rPr>
          <w:rFonts w:asciiTheme="majorHAnsi" w:hAnsiTheme="majorHAnsi"/>
          <w:sz w:val="28"/>
          <w:szCs w:val="28"/>
        </w:rPr>
        <w:t xml:space="preserve"> </w:t>
      </w:r>
    </w:p>
    <w:p w:rsidR="007421DB" w:rsidRPr="002A25EE" w:rsidRDefault="007421DB" w:rsidP="000D4AC8">
      <w:pPr>
        <w:spacing w:line="360" w:lineRule="auto"/>
        <w:ind w:firstLine="720"/>
        <w:rPr>
          <w:rFonts w:asciiTheme="majorHAnsi" w:hAnsiTheme="majorHAnsi"/>
          <w:sz w:val="28"/>
          <w:szCs w:val="28"/>
        </w:rPr>
      </w:pPr>
      <w:r>
        <w:rPr>
          <w:rFonts w:asciiTheme="majorHAnsi" w:hAnsiTheme="majorHAnsi"/>
          <w:sz w:val="28"/>
          <w:szCs w:val="28"/>
        </w:rPr>
        <w:lastRenderedPageBreak/>
        <w:t xml:space="preserve">When you remember that it actually costs more to educate Reading students because of their poverty than </w:t>
      </w:r>
      <w:r w:rsidR="00E33FA9">
        <w:rPr>
          <w:rFonts w:asciiTheme="majorHAnsi" w:hAnsiTheme="majorHAnsi"/>
          <w:sz w:val="28"/>
          <w:szCs w:val="28"/>
        </w:rPr>
        <w:t>Colonial</w:t>
      </w:r>
      <w:r>
        <w:rPr>
          <w:rFonts w:asciiTheme="majorHAnsi" w:hAnsiTheme="majorHAnsi"/>
          <w:sz w:val="28"/>
          <w:szCs w:val="28"/>
        </w:rPr>
        <w:t xml:space="preserve"> st</w:t>
      </w:r>
      <w:r w:rsidR="006B0EE7">
        <w:rPr>
          <w:rFonts w:asciiTheme="majorHAnsi" w:hAnsiTheme="majorHAnsi"/>
          <w:sz w:val="28"/>
          <w:szCs w:val="28"/>
        </w:rPr>
        <w:t>udents, these disparities make</w:t>
      </w:r>
      <w:r>
        <w:rPr>
          <w:rFonts w:asciiTheme="majorHAnsi" w:hAnsiTheme="majorHAnsi"/>
          <w:sz w:val="28"/>
          <w:szCs w:val="28"/>
        </w:rPr>
        <w:t xml:space="preserve"> even less sense. </w:t>
      </w:r>
    </w:p>
    <w:p w:rsidR="009626BC" w:rsidRDefault="00A25880" w:rsidP="000D4AC8">
      <w:pPr>
        <w:spacing w:line="360" w:lineRule="auto"/>
        <w:ind w:firstLine="720"/>
        <w:rPr>
          <w:rFonts w:asciiTheme="majorHAnsi" w:hAnsiTheme="majorHAnsi"/>
          <w:sz w:val="28"/>
          <w:szCs w:val="28"/>
        </w:rPr>
      </w:pPr>
      <w:r w:rsidRPr="002A25EE">
        <w:rPr>
          <w:rFonts w:asciiTheme="majorHAnsi" w:hAnsiTheme="majorHAnsi"/>
          <w:sz w:val="28"/>
          <w:szCs w:val="28"/>
        </w:rPr>
        <w:t>Any system which ends up forcing</w:t>
      </w:r>
      <w:r w:rsidR="005F4784" w:rsidRPr="002A25EE">
        <w:rPr>
          <w:rFonts w:asciiTheme="majorHAnsi" w:hAnsiTheme="majorHAnsi"/>
          <w:sz w:val="28"/>
          <w:szCs w:val="28"/>
        </w:rPr>
        <w:t xml:space="preserve"> taxpayers in </w:t>
      </w:r>
      <w:r w:rsidRPr="002A25EE">
        <w:rPr>
          <w:rFonts w:asciiTheme="majorHAnsi" w:hAnsiTheme="majorHAnsi"/>
          <w:sz w:val="28"/>
          <w:szCs w:val="28"/>
        </w:rPr>
        <w:t xml:space="preserve"> poor districts to pay two to three times as much in local tax effort as wealthy districts and still have less to spend is </w:t>
      </w:r>
      <w:r w:rsidR="009626BC">
        <w:rPr>
          <w:rFonts w:asciiTheme="majorHAnsi" w:hAnsiTheme="majorHAnsi"/>
          <w:sz w:val="28"/>
          <w:szCs w:val="28"/>
        </w:rPr>
        <w:t>obviously</w:t>
      </w:r>
      <w:r w:rsidR="004D19C5">
        <w:rPr>
          <w:rFonts w:asciiTheme="majorHAnsi" w:hAnsiTheme="majorHAnsi"/>
          <w:sz w:val="28"/>
          <w:szCs w:val="28"/>
        </w:rPr>
        <w:t xml:space="preserve"> not working</w:t>
      </w:r>
      <w:r w:rsidR="009626BC">
        <w:rPr>
          <w:rFonts w:asciiTheme="majorHAnsi" w:hAnsiTheme="majorHAnsi"/>
          <w:sz w:val="28"/>
          <w:szCs w:val="28"/>
        </w:rPr>
        <w:t>.  When government permits such perversity to persist, it fails its</w:t>
      </w:r>
      <w:r w:rsidR="00E85E9B">
        <w:rPr>
          <w:rFonts w:asciiTheme="majorHAnsi" w:hAnsiTheme="majorHAnsi"/>
          <w:sz w:val="28"/>
          <w:szCs w:val="28"/>
        </w:rPr>
        <w:t xml:space="preserve"> most</w:t>
      </w:r>
      <w:r w:rsidR="009626BC">
        <w:rPr>
          <w:rFonts w:asciiTheme="majorHAnsi" w:hAnsiTheme="majorHAnsi"/>
          <w:sz w:val="28"/>
          <w:szCs w:val="28"/>
        </w:rPr>
        <w:t xml:space="preserve"> fundamental tasks.</w:t>
      </w:r>
    </w:p>
    <w:p w:rsidR="001046DA" w:rsidRDefault="00BD18D2" w:rsidP="000D4AC8">
      <w:pPr>
        <w:spacing w:line="360" w:lineRule="auto"/>
        <w:ind w:firstLine="720"/>
        <w:rPr>
          <w:rFonts w:asciiTheme="majorHAnsi" w:hAnsiTheme="majorHAnsi"/>
          <w:sz w:val="28"/>
          <w:szCs w:val="28"/>
        </w:rPr>
      </w:pPr>
      <w:r>
        <w:rPr>
          <w:rFonts w:asciiTheme="majorHAnsi" w:hAnsiTheme="majorHAnsi"/>
          <w:b/>
          <w:sz w:val="28"/>
          <w:szCs w:val="28"/>
          <w:u w:val="single"/>
        </w:rPr>
        <w:t>The system does not take into account how much it costs to educate children.</w:t>
      </w:r>
      <w:r w:rsidR="001046DA">
        <w:rPr>
          <w:rFonts w:asciiTheme="majorHAnsi" w:hAnsiTheme="majorHAnsi"/>
          <w:sz w:val="28"/>
          <w:szCs w:val="28"/>
        </w:rPr>
        <w:t xml:space="preserve">   A</w:t>
      </w:r>
      <w:r w:rsidR="00A25880" w:rsidRPr="002A25EE">
        <w:rPr>
          <w:rFonts w:asciiTheme="majorHAnsi" w:hAnsiTheme="majorHAnsi"/>
          <w:sz w:val="28"/>
          <w:szCs w:val="28"/>
        </w:rPr>
        <w:t xml:space="preserve">ny system which does not assess the cost to adequately prepare students is </w:t>
      </w:r>
      <w:r w:rsidR="008E68B8">
        <w:rPr>
          <w:rFonts w:asciiTheme="majorHAnsi" w:hAnsiTheme="majorHAnsi"/>
          <w:sz w:val="28"/>
          <w:szCs w:val="28"/>
        </w:rPr>
        <w:t xml:space="preserve">unlikely to succeed </w:t>
      </w:r>
      <w:r w:rsidR="00660DFB">
        <w:rPr>
          <w:rFonts w:asciiTheme="majorHAnsi" w:hAnsiTheme="majorHAnsi"/>
          <w:sz w:val="28"/>
          <w:szCs w:val="28"/>
        </w:rPr>
        <w:t>at preparing them</w:t>
      </w:r>
      <w:r w:rsidR="00A25880" w:rsidRPr="002A25EE">
        <w:rPr>
          <w:rFonts w:asciiTheme="majorHAnsi" w:hAnsiTheme="majorHAnsi"/>
          <w:sz w:val="28"/>
          <w:szCs w:val="28"/>
        </w:rPr>
        <w:t xml:space="preserve">.  </w:t>
      </w:r>
      <w:r w:rsidR="001046DA" w:rsidRPr="001046DA">
        <w:rPr>
          <w:rFonts w:asciiTheme="majorHAnsi" w:hAnsiTheme="majorHAnsi"/>
          <w:sz w:val="28"/>
          <w:szCs w:val="28"/>
        </w:rPr>
        <w:t xml:space="preserve">In 2013 schools located in </w:t>
      </w:r>
      <w:r w:rsidR="00D7536E" w:rsidRPr="001046DA">
        <w:rPr>
          <w:rFonts w:asciiTheme="majorHAnsi" w:hAnsiTheme="majorHAnsi"/>
          <w:sz w:val="28"/>
          <w:szCs w:val="28"/>
        </w:rPr>
        <w:t xml:space="preserve">72% </w:t>
      </w:r>
      <w:r w:rsidR="00A25880" w:rsidRPr="001046DA">
        <w:rPr>
          <w:rFonts w:asciiTheme="majorHAnsi" w:hAnsiTheme="majorHAnsi"/>
          <w:sz w:val="28"/>
          <w:szCs w:val="28"/>
        </w:rPr>
        <w:t>of the districts</w:t>
      </w:r>
      <w:r w:rsidR="00BC4D44" w:rsidRPr="001046DA">
        <w:rPr>
          <w:rFonts w:asciiTheme="majorHAnsi" w:hAnsiTheme="majorHAnsi"/>
          <w:sz w:val="28"/>
          <w:szCs w:val="28"/>
        </w:rPr>
        <w:t xml:space="preserve"> </w:t>
      </w:r>
      <w:r w:rsidR="00A72592" w:rsidRPr="001046DA">
        <w:rPr>
          <w:rFonts w:asciiTheme="majorHAnsi" w:hAnsiTheme="majorHAnsi"/>
          <w:sz w:val="28"/>
          <w:szCs w:val="28"/>
        </w:rPr>
        <w:t xml:space="preserve">and </w:t>
      </w:r>
      <w:r w:rsidR="001046DA" w:rsidRPr="001046DA">
        <w:rPr>
          <w:rFonts w:asciiTheme="majorHAnsi" w:hAnsiTheme="majorHAnsi"/>
          <w:sz w:val="28"/>
          <w:szCs w:val="28"/>
        </w:rPr>
        <w:t xml:space="preserve">in </w:t>
      </w:r>
      <w:r w:rsidR="00A72592" w:rsidRPr="001046DA">
        <w:rPr>
          <w:rFonts w:asciiTheme="majorHAnsi" w:hAnsiTheme="majorHAnsi"/>
          <w:sz w:val="28"/>
          <w:szCs w:val="28"/>
        </w:rPr>
        <w:t>80% of the charters</w:t>
      </w:r>
      <w:r w:rsidR="00A25880" w:rsidRPr="001046DA">
        <w:rPr>
          <w:rFonts w:asciiTheme="majorHAnsi" w:hAnsiTheme="majorHAnsi"/>
          <w:sz w:val="28"/>
          <w:szCs w:val="28"/>
        </w:rPr>
        <w:t xml:space="preserve"> could not meet the state</w:t>
      </w:r>
      <w:r w:rsidR="00BC4D44" w:rsidRPr="001046DA">
        <w:rPr>
          <w:rFonts w:asciiTheme="majorHAnsi" w:hAnsiTheme="majorHAnsi"/>
          <w:sz w:val="28"/>
          <w:szCs w:val="28"/>
        </w:rPr>
        <w:t>’s standard</w:t>
      </w:r>
      <w:r w:rsidR="00A25880" w:rsidRPr="001046DA">
        <w:rPr>
          <w:rFonts w:asciiTheme="majorHAnsi" w:hAnsiTheme="majorHAnsi"/>
          <w:sz w:val="28"/>
          <w:szCs w:val="28"/>
        </w:rPr>
        <w:t xml:space="preserve"> </w:t>
      </w:r>
      <w:r w:rsidR="001046DA" w:rsidRPr="001046DA">
        <w:rPr>
          <w:rFonts w:asciiTheme="majorHAnsi" w:hAnsiTheme="majorHAnsi"/>
          <w:sz w:val="28"/>
          <w:szCs w:val="28"/>
        </w:rPr>
        <w:t xml:space="preserve"> that </w:t>
      </w:r>
      <w:r w:rsidR="00A25880" w:rsidRPr="001046DA">
        <w:rPr>
          <w:rFonts w:asciiTheme="majorHAnsi" w:hAnsiTheme="majorHAnsi"/>
          <w:sz w:val="28"/>
          <w:szCs w:val="28"/>
        </w:rPr>
        <w:t xml:space="preserve"> 70% of their students </w:t>
      </w:r>
      <w:r w:rsidR="001046DA" w:rsidRPr="001046DA">
        <w:rPr>
          <w:rFonts w:asciiTheme="majorHAnsi" w:hAnsiTheme="majorHAnsi"/>
          <w:sz w:val="28"/>
          <w:szCs w:val="28"/>
        </w:rPr>
        <w:t xml:space="preserve">be </w:t>
      </w:r>
      <w:r w:rsidR="00A25880" w:rsidRPr="001046DA">
        <w:rPr>
          <w:rFonts w:asciiTheme="majorHAnsi" w:hAnsiTheme="majorHAnsi"/>
          <w:sz w:val="28"/>
          <w:szCs w:val="28"/>
        </w:rPr>
        <w:t xml:space="preserve">at grade level in </w:t>
      </w:r>
      <w:r w:rsidR="00BC4D44" w:rsidRPr="001046DA">
        <w:rPr>
          <w:rFonts w:asciiTheme="majorHAnsi" w:hAnsiTheme="majorHAnsi"/>
          <w:sz w:val="28"/>
          <w:szCs w:val="28"/>
        </w:rPr>
        <w:t xml:space="preserve">reading/literature </w:t>
      </w:r>
      <w:r w:rsidR="00A25880" w:rsidRPr="001046DA">
        <w:rPr>
          <w:rFonts w:asciiTheme="majorHAnsi" w:hAnsiTheme="majorHAnsi"/>
          <w:sz w:val="28"/>
          <w:szCs w:val="28"/>
        </w:rPr>
        <w:t xml:space="preserve"> and 73%  in </w:t>
      </w:r>
      <w:r w:rsidR="00BC4D44" w:rsidRPr="001046DA">
        <w:rPr>
          <w:rFonts w:asciiTheme="majorHAnsi" w:hAnsiTheme="majorHAnsi"/>
          <w:sz w:val="28"/>
          <w:szCs w:val="28"/>
        </w:rPr>
        <w:t xml:space="preserve">math/algebra I </w:t>
      </w:r>
      <w:r w:rsidR="00A25880" w:rsidRPr="001046DA">
        <w:rPr>
          <w:rFonts w:asciiTheme="majorHAnsi" w:hAnsiTheme="majorHAnsi"/>
          <w:sz w:val="28"/>
          <w:szCs w:val="28"/>
        </w:rPr>
        <w:t xml:space="preserve"> on the state</w:t>
      </w:r>
      <w:r w:rsidR="005F4784" w:rsidRPr="001046DA">
        <w:rPr>
          <w:rFonts w:asciiTheme="majorHAnsi" w:hAnsiTheme="majorHAnsi"/>
          <w:sz w:val="28"/>
          <w:szCs w:val="28"/>
        </w:rPr>
        <w:t xml:space="preserve"> assessment</w:t>
      </w:r>
      <w:r w:rsidR="00A25880" w:rsidRPr="001046DA">
        <w:rPr>
          <w:rFonts w:asciiTheme="majorHAnsi" w:hAnsiTheme="majorHAnsi"/>
          <w:sz w:val="28"/>
          <w:szCs w:val="28"/>
        </w:rPr>
        <w:t xml:space="preserve"> exams. </w:t>
      </w:r>
      <w:r w:rsidR="001046DA">
        <w:rPr>
          <w:rFonts w:asciiTheme="majorHAnsi" w:hAnsiTheme="majorHAnsi"/>
          <w:sz w:val="28"/>
          <w:szCs w:val="28"/>
        </w:rPr>
        <w:t xml:space="preserve"> Meeting proficiency standards is not a problem for just a few isolated </w:t>
      </w:r>
      <w:r w:rsidR="008E68B8">
        <w:rPr>
          <w:rFonts w:asciiTheme="majorHAnsi" w:hAnsiTheme="majorHAnsi"/>
          <w:sz w:val="28"/>
          <w:szCs w:val="28"/>
        </w:rPr>
        <w:t xml:space="preserve">poorly performing </w:t>
      </w:r>
      <w:r w:rsidR="001046DA">
        <w:rPr>
          <w:rFonts w:asciiTheme="majorHAnsi" w:hAnsiTheme="majorHAnsi"/>
          <w:sz w:val="28"/>
          <w:szCs w:val="28"/>
        </w:rPr>
        <w:t>districts.</w:t>
      </w:r>
    </w:p>
    <w:p w:rsidR="00A25880" w:rsidRDefault="001046DA" w:rsidP="000D4AC8">
      <w:pPr>
        <w:spacing w:line="360" w:lineRule="auto"/>
        <w:ind w:firstLine="720"/>
        <w:rPr>
          <w:rFonts w:asciiTheme="majorHAnsi" w:hAnsiTheme="majorHAnsi"/>
          <w:sz w:val="28"/>
          <w:szCs w:val="28"/>
        </w:rPr>
      </w:pPr>
      <w:r>
        <w:rPr>
          <w:rFonts w:asciiTheme="majorHAnsi" w:hAnsiTheme="majorHAnsi"/>
          <w:sz w:val="28"/>
          <w:szCs w:val="28"/>
        </w:rPr>
        <w:t xml:space="preserve">Despite the widespread need to improve student performance,  </w:t>
      </w:r>
      <w:r w:rsidR="00D7536E">
        <w:rPr>
          <w:rFonts w:asciiTheme="majorHAnsi" w:hAnsiTheme="majorHAnsi"/>
          <w:sz w:val="28"/>
          <w:szCs w:val="28"/>
        </w:rPr>
        <w:t>d</w:t>
      </w:r>
      <w:r w:rsidR="00F72ED0" w:rsidRPr="002A25EE">
        <w:rPr>
          <w:rFonts w:asciiTheme="majorHAnsi" w:hAnsiTheme="majorHAnsi"/>
          <w:sz w:val="28"/>
          <w:szCs w:val="28"/>
        </w:rPr>
        <w:t xml:space="preserve">istricts </w:t>
      </w:r>
      <w:r>
        <w:rPr>
          <w:rFonts w:asciiTheme="majorHAnsi" w:hAnsiTheme="majorHAnsi"/>
          <w:sz w:val="28"/>
          <w:szCs w:val="28"/>
        </w:rPr>
        <w:t xml:space="preserve">have been </w:t>
      </w:r>
      <w:r w:rsidR="004D19C5">
        <w:rPr>
          <w:rFonts w:asciiTheme="majorHAnsi" w:hAnsiTheme="majorHAnsi"/>
          <w:sz w:val="28"/>
          <w:szCs w:val="28"/>
        </w:rPr>
        <w:t xml:space="preserve">increasing class size and </w:t>
      </w:r>
      <w:r w:rsidR="00F72ED0" w:rsidRPr="002A25EE">
        <w:rPr>
          <w:rFonts w:asciiTheme="majorHAnsi" w:hAnsiTheme="majorHAnsi"/>
          <w:sz w:val="28"/>
          <w:szCs w:val="28"/>
        </w:rPr>
        <w:t>cutting the  tutoring  and suppor</w:t>
      </w:r>
      <w:r w:rsidR="00660DFB">
        <w:rPr>
          <w:rFonts w:asciiTheme="majorHAnsi" w:hAnsiTheme="majorHAnsi"/>
          <w:sz w:val="28"/>
          <w:szCs w:val="28"/>
        </w:rPr>
        <w:t>t programs necessary to help</w:t>
      </w:r>
      <w:r w:rsidR="00F72ED0" w:rsidRPr="002A25EE">
        <w:rPr>
          <w:rFonts w:asciiTheme="majorHAnsi" w:hAnsiTheme="majorHAnsi"/>
          <w:sz w:val="28"/>
          <w:szCs w:val="28"/>
        </w:rPr>
        <w:t xml:space="preserve">  struggling students succeed</w:t>
      </w:r>
      <w:r>
        <w:rPr>
          <w:rFonts w:asciiTheme="majorHAnsi" w:hAnsiTheme="majorHAnsi"/>
          <w:sz w:val="28"/>
          <w:szCs w:val="28"/>
        </w:rPr>
        <w:t xml:space="preserve">.  They </w:t>
      </w:r>
      <w:r w:rsidR="008E68B8">
        <w:rPr>
          <w:rFonts w:asciiTheme="majorHAnsi" w:hAnsiTheme="majorHAnsi"/>
          <w:sz w:val="28"/>
          <w:szCs w:val="28"/>
        </w:rPr>
        <w:t>made these cuts</w:t>
      </w:r>
      <w:r>
        <w:rPr>
          <w:rFonts w:asciiTheme="majorHAnsi" w:hAnsiTheme="majorHAnsi"/>
          <w:sz w:val="28"/>
          <w:szCs w:val="28"/>
        </w:rPr>
        <w:t xml:space="preserve"> because they did not have the financial ability </w:t>
      </w:r>
      <w:r w:rsidR="004D19C5">
        <w:rPr>
          <w:rFonts w:asciiTheme="majorHAnsi" w:hAnsiTheme="majorHAnsi"/>
          <w:sz w:val="28"/>
          <w:szCs w:val="28"/>
        </w:rPr>
        <w:t xml:space="preserve">to pay for these vital programs, not because they were a smart way to improve student performance. </w:t>
      </w:r>
      <w:r w:rsidR="00F72ED0" w:rsidRPr="002A25EE">
        <w:rPr>
          <w:rFonts w:asciiTheme="majorHAnsi" w:hAnsiTheme="majorHAnsi"/>
          <w:sz w:val="28"/>
          <w:szCs w:val="28"/>
        </w:rPr>
        <w:t xml:space="preserve">  Deciding how to distribute an inadequate amount of funds unrelated to any determination of need will not address </w:t>
      </w:r>
      <w:r w:rsidR="009626BC">
        <w:rPr>
          <w:rFonts w:asciiTheme="majorHAnsi" w:hAnsiTheme="majorHAnsi"/>
          <w:sz w:val="28"/>
          <w:szCs w:val="28"/>
        </w:rPr>
        <w:t>the real problem facing schools</w:t>
      </w:r>
      <w:r w:rsidR="004D19C5">
        <w:rPr>
          <w:rFonts w:asciiTheme="majorHAnsi" w:hAnsiTheme="majorHAnsi"/>
          <w:sz w:val="28"/>
          <w:szCs w:val="28"/>
        </w:rPr>
        <w:t>.</w:t>
      </w:r>
      <w:r w:rsidR="00F72ED0" w:rsidRPr="002A25EE">
        <w:rPr>
          <w:rFonts w:asciiTheme="majorHAnsi" w:hAnsiTheme="majorHAnsi"/>
          <w:sz w:val="28"/>
          <w:szCs w:val="28"/>
        </w:rPr>
        <w:t xml:space="preserve">  </w:t>
      </w:r>
    </w:p>
    <w:p w:rsidR="002A25EE" w:rsidRDefault="00F72ED0" w:rsidP="000D4AC8">
      <w:pPr>
        <w:spacing w:line="360" w:lineRule="auto"/>
        <w:ind w:firstLine="720"/>
        <w:rPr>
          <w:rFonts w:asciiTheme="majorHAnsi" w:hAnsiTheme="majorHAnsi"/>
          <w:sz w:val="28"/>
          <w:szCs w:val="28"/>
        </w:rPr>
      </w:pPr>
      <w:r w:rsidRPr="00660DFB">
        <w:rPr>
          <w:rFonts w:asciiTheme="majorHAnsi" w:hAnsiTheme="majorHAnsi"/>
          <w:sz w:val="28"/>
          <w:szCs w:val="28"/>
          <w:u w:val="single"/>
        </w:rPr>
        <w:lastRenderedPageBreak/>
        <w:t>This Commission has three critical decisions to make in considering a formula</w:t>
      </w:r>
      <w:r w:rsidR="005F4784" w:rsidRPr="00660DFB">
        <w:rPr>
          <w:rFonts w:asciiTheme="majorHAnsi" w:hAnsiTheme="majorHAnsi"/>
          <w:sz w:val="28"/>
          <w:szCs w:val="28"/>
          <w:u w:val="single"/>
        </w:rPr>
        <w:t xml:space="preserve"> that will begin to provide a thorough and efficient system of public education that serves the needs of the Commonwealth</w:t>
      </w:r>
      <w:r w:rsidR="005F4784" w:rsidRPr="002A25EE">
        <w:rPr>
          <w:rFonts w:asciiTheme="majorHAnsi" w:hAnsiTheme="majorHAnsi"/>
          <w:sz w:val="28"/>
          <w:szCs w:val="28"/>
        </w:rPr>
        <w:t>:</w:t>
      </w:r>
      <w:r w:rsidRPr="002A25EE">
        <w:rPr>
          <w:rFonts w:asciiTheme="majorHAnsi" w:hAnsiTheme="majorHAnsi"/>
          <w:sz w:val="28"/>
          <w:szCs w:val="28"/>
        </w:rPr>
        <w:t xml:space="preserve">  </w:t>
      </w:r>
    </w:p>
    <w:p w:rsidR="00F72ED0" w:rsidRPr="002A25EE" w:rsidRDefault="00F72ED0" w:rsidP="000D4AC8">
      <w:pPr>
        <w:spacing w:line="360" w:lineRule="auto"/>
        <w:ind w:firstLine="720"/>
        <w:rPr>
          <w:rFonts w:asciiTheme="majorHAnsi" w:hAnsiTheme="majorHAnsi"/>
          <w:sz w:val="28"/>
          <w:szCs w:val="28"/>
        </w:rPr>
      </w:pPr>
      <w:r w:rsidRPr="000E3A5E">
        <w:rPr>
          <w:rFonts w:asciiTheme="majorHAnsi" w:hAnsiTheme="majorHAnsi"/>
          <w:b/>
          <w:sz w:val="28"/>
          <w:szCs w:val="28"/>
        </w:rPr>
        <w:t>1)</w:t>
      </w:r>
      <w:r w:rsidR="00F37CD6">
        <w:rPr>
          <w:rFonts w:asciiTheme="majorHAnsi" w:hAnsiTheme="majorHAnsi"/>
          <w:b/>
          <w:sz w:val="28"/>
          <w:szCs w:val="28"/>
        </w:rPr>
        <w:t xml:space="preserve"> </w:t>
      </w:r>
      <w:r w:rsidR="00BB5E04">
        <w:rPr>
          <w:rFonts w:asciiTheme="majorHAnsi" w:hAnsiTheme="majorHAnsi"/>
          <w:b/>
          <w:sz w:val="28"/>
          <w:szCs w:val="28"/>
        </w:rPr>
        <w:t>One</w:t>
      </w:r>
      <w:r w:rsidRPr="002A25EE">
        <w:rPr>
          <w:rFonts w:asciiTheme="majorHAnsi" w:hAnsiTheme="majorHAnsi"/>
          <w:b/>
          <w:sz w:val="28"/>
          <w:szCs w:val="28"/>
        </w:rPr>
        <w:t xml:space="preserve"> is how to weight the relative costs of educating  students </w:t>
      </w:r>
      <w:r w:rsidRPr="002A25EE">
        <w:rPr>
          <w:rFonts w:asciiTheme="majorHAnsi" w:hAnsiTheme="majorHAnsi"/>
          <w:sz w:val="28"/>
          <w:szCs w:val="28"/>
        </w:rPr>
        <w:t>with different costs arising out of poverty</w:t>
      </w:r>
      <w:r w:rsidR="003314FB">
        <w:rPr>
          <w:rFonts w:asciiTheme="majorHAnsi" w:hAnsiTheme="majorHAnsi"/>
          <w:sz w:val="28"/>
          <w:szCs w:val="28"/>
        </w:rPr>
        <w:t>,</w:t>
      </w:r>
      <w:r w:rsidRPr="002A25EE">
        <w:rPr>
          <w:rFonts w:asciiTheme="majorHAnsi" w:hAnsiTheme="majorHAnsi"/>
          <w:sz w:val="28"/>
          <w:szCs w:val="28"/>
        </w:rPr>
        <w:t xml:space="preserve">  students involved in </w:t>
      </w:r>
      <w:r w:rsidR="00ED3F3E" w:rsidRPr="002A25EE">
        <w:rPr>
          <w:rFonts w:asciiTheme="majorHAnsi" w:hAnsiTheme="majorHAnsi"/>
          <w:sz w:val="28"/>
          <w:szCs w:val="28"/>
        </w:rPr>
        <w:t>our dependency or delinquency systems,  English language learners,</w:t>
      </w:r>
      <w:r w:rsidR="002041C0">
        <w:rPr>
          <w:rFonts w:asciiTheme="majorHAnsi" w:hAnsiTheme="majorHAnsi"/>
          <w:sz w:val="28"/>
          <w:szCs w:val="28"/>
        </w:rPr>
        <w:t xml:space="preserve"> students with high transiency, </w:t>
      </w:r>
      <w:r w:rsidR="00ED3F3E" w:rsidRPr="002A25EE">
        <w:rPr>
          <w:rFonts w:asciiTheme="majorHAnsi" w:hAnsiTheme="majorHAnsi"/>
          <w:sz w:val="28"/>
          <w:szCs w:val="28"/>
        </w:rPr>
        <w:t xml:space="preserve"> etc.  </w:t>
      </w:r>
      <w:r w:rsidR="005F4784" w:rsidRPr="002A25EE">
        <w:rPr>
          <w:rFonts w:asciiTheme="majorHAnsi" w:hAnsiTheme="majorHAnsi"/>
          <w:sz w:val="28"/>
          <w:szCs w:val="28"/>
        </w:rPr>
        <w:t xml:space="preserve">And districts have different cost parameters based on </w:t>
      </w:r>
      <w:r w:rsidR="00F37CD6">
        <w:rPr>
          <w:rFonts w:asciiTheme="majorHAnsi" w:hAnsiTheme="majorHAnsi"/>
          <w:sz w:val="28"/>
          <w:szCs w:val="28"/>
        </w:rPr>
        <w:t xml:space="preserve">the </w:t>
      </w:r>
      <w:r w:rsidR="005F4784" w:rsidRPr="002A25EE">
        <w:rPr>
          <w:rFonts w:asciiTheme="majorHAnsi" w:hAnsiTheme="majorHAnsi"/>
          <w:sz w:val="28"/>
          <w:szCs w:val="28"/>
        </w:rPr>
        <w:t xml:space="preserve">cost of </w:t>
      </w:r>
      <w:r w:rsidR="00F37CD6">
        <w:rPr>
          <w:rFonts w:asciiTheme="majorHAnsi" w:hAnsiTheme="majorHAnsi"/>
          <w:sz w:val="28"/>
          <w:szCs w:val="28"/>
        </w:rPr>
        <w:t>providing services</w:t>
      </w:r>
      <w:r w:rsidR="005F4784" w:rsidRPr="002A25EE">
        <w:rPr>
          <w:rFonts w:asciiTheme="majorHAnsi" w:hAnsiTheme="majorHAnsi"/>
          <w:sz w:val="28"/>
          <w:szCs w:val="28"/>
        </w:rPr>
        <w:t xml:space="preserve"> in their region, sparsity and density,  and costs from growth or</w:t>
      </w:r>
      <w:r w:rsidR="00DB4194">
        <w:rPr>
          <w:rFonts w:asciiTheme="majorHAnsi" w:hAnsiTheme="majorHAnsi"/>
          <w:sz w:val="28"/>
          <w:szCs w:val="28"/>
        </w:rPr>
        <w:t xml:space="preserve"> the stranded costs from</w:t>
      </w:r>
      <w:r w:rsidR="005F4784" w:rsidRPr="002A25EE">
        <w:rPr>
          <w:rFonts w:asciiTheme="majorHAnsi" w:hAnsiTheme="majorHAnsi"/>
          <w:sz w:val="28"/>
          <w:szCs w:val="28"/>
        </w:rPr>
        <w:t xml:space="preserve"> l</w:t>
      </w:r>
      <w:r w:rsidR="00DB4194">
        <w:rPr>
          <w:rFonts w:asciiTheme="majorHAnsi" w:hAnsiTheme="majorHAnsi"/>
          <w:sz w:val="28"/>
          <w:szCs w:val="28"/>
        </w:rPr>
        <w:t>oss of students</w:t>
      </w:r>
      <w:r w:rsidR="00F37CD6">
        <w:rPr>
          <w:rFonts w:asciiTheme="majorHAnsi" w:hAnsiTheme="majorHAnsi"/>
          <w:sz w:val="28"/>
          <w:szCs w:val="28"/>
        </w:rPr>
        <w:t xml:space="preserve"> because of declining population.</w:t>
      </w:r>
      <w:r w:rsidR="00DB4194">
        <w:rPr>
          <w:rFonts w:asciiTheme="majorHAnsi" w:hAnsiTheme="majorHAnsi"/>
          <w:sz w:val="28"/>
          <w:szCs w:val="28"/>
        </w:rPr>
        <w:t xml:space="preserve"> </w:t>
      </w:r>
      <w:r w:rsidR="00F37CD6">
        <w:rPr>
          <w:rFonts w:asciiTheme="majorHAnsi" w:hAnsiTheme="majorHAnsi"/>
          <w:sz w:val="28"/>
          <w:szCs w:val="28"/>
        </w:rPr>
        <w:t xml:space="preserve"> </w:t>
      </w:r>
      <w:r w:rsidR="008E68B8">
        <w:rPr>
          <w:rFonts w:asciiTheme="majorHAnsi" w:hAnsiTheme="majorHAnsi"/>
          <w:sz w:val="28"/>
          <w:szCs w:val="28"/>
        </w:rPr>
        <w:t>Research produces a range of weights, and it would be wise to use weights at the higher e</w:t>
      </w:r>
      <w:r w:rsidR="000E400F">
        <w:rPr>
          <w:rFonts w:asciiTheme="majorHAnsi" w:hAnsiTheme="majorHAnsi"/>
          <w:sz w:val="28"/>
          <w:szCs w:val="28"/>
        </w:rPr>
        <w:t>nd of the range to make up for the historic underfunding of these factors.</w:t>
      </w:r>
    </w:p>
    <w:p w:rsidR="00DB4194" w:rsidRDefault="00ED3F3E" w:rsidP="000D4AC8">
      <w:pPr>
        <w:spacing w:line="360" w:lineRule="auto"/>
        <w:ind w:firstLine="720"/>
        <w:rPr>
          <w:rFonts w:asciiTheme="majorHAnsi" w:hAnsiTheme="majorHAnsi"/>
          <w:sz w:val="28"/>
          <w:szCs w:val="28"/>
        </w:rPr>
      </w:pPr>
      <w:r w:rsidRPr="000E3A5E">
        <w:rPr>
          <w:rFonts w:asciiTheme="majorHAnsi" w:hAnsiTheme="majorHAnsi"/>
          <w:b/>
          <w:sz w:val="28"/>
          <w:szCs w:val="28"/>
        </w:rPr>
        <w:t>2)</w:t>
      </w:r>
      <w:r w:rsidRPr="002A25EE">
        <w:rPr>
          <w:rFonts w:asciiTheme="majorHAnsi" w:hAnsiTheme="majorHAnsi"/>
          <w:sz w:val="28"/>
          <w:szCs w:val="28"/>
        </w:rPr>
        <w:t xml:space="preserve"> </w:t>
      </w:r>
      <w:r w:rsidR="00BB5E04">
        <w:rPr>
          <w:rFonts w:asciiTheme="majorHAnsi" w:hAnsiTheme="majorHAnsi"/>
          <w:b/>
          <w:sz w:val="28"/>
          <w:szCs w:val="28"/>
        </w:rPr>
        <w:t xml:space="preserve">Another </w:t>
      </w:r>
      <w:r w:rsidR="003314FB">
        <w:rPr>
          <w:rFonts w:asciiTheme="majorHAnsi" w:hAnsiTheme="majorHAnsi"/>
          <w:b/>
          <w:sz w:val="28"/>
          <w:szCs w:val="28"/>
        </w:rPr>
        <w:t>is how to determine the base</w:t>
      </w:r>
      <w:r w:rsidRPr="002A25EE">
        <w:rPr>
          <w:rFonts w:asciiTheme="majorHAnsi" w:hAnsiTheme="majorHAnsi"/>
          <w:b/>
          <w:sz w:val="28"/>
          <w:szCs w:val="28"/>
        </w:rPr>
        <w:t xml:space="preserve"> cost that districts need.</w:t>
      </w:r>
      <w:r w:rsidRPr="002A25EE">
        <w:rPr>
          <w:rFonts w:asciiTheme="majorHAnsi" w:hAnsiTheme="majorHAnsi"/>
          <w:sz w:val="28"/>
          <w:szCs w:val="28"/>
        </w:rPr>
        <w:t xml:space="preserve">  </w:t>
      </w:r>
    </w:p>
    <w:p w:rsidR="00ED3F3E" w:rsidRPr="002A25EE" w:rsidRDefault="00750916" w:rsidP="000D4AC8">
      <w:pPr>
        <w:spacing w:line="360" w:lineRule="auto"/>
        <w:ind w:firstLine="720"/>
        <w:rPr>
          <w:rFonts w:asciiTheme="majorHAnsi" w:hAnsiTheme="majorHAnsi"/>
          <w:sz w:val="28"/>
          <w:szCs w:val="28"/>
        </w:rPr>
      </w:pPr>
      <w:r>
        <w:rPr>
          <w:rFonts w:asciiTheme="majorHAnsi" w:hAnsiTheme="majorHAnsi"/>
          <w:sz w:val="28"/>
          <w:szCs w:val="28"/>
        </w:rPr>
        <w:t xml:space="preserve">A rational basis for funding would start </w:t>
      </w:r>
      <w:r w:rsidR="00AC140A" w:rsidRPr="002A25EE">
        <w:rPr>
          <w:rFonts w:asciiTheme="majorHAnsi" w:hAnsiTheme="majorHAnsi"/>
          <w:sz w:val="28"/>
          <w:szCs w:val="28"/>
        </w:rPr>
        <w:t>by determining a base price for an average student and then applying the</w:t>
      </w:r>
      <w:r w:rsidR="002A25EE">
        <w:rPr>
          <w:rFonts w:asciiTheme="majorHAnsi" w:hAnsiTheme="majorHAnsi"/>
          <w:sz w:val="28"/>
          <w:szCs w:val="28"/>
        </w:rPr>
        <w:t xml:space="preserve"> various</w:t>
      </w:r>
      <w:r w:rsidR="00DB4194">
        <w:rPr>
          <w:rFonts w:asciiTheme="majorHAnsi" w:hAnsiTheme="majorHAnsi"/>
          <w:sz w:val="28"/>
          <w:szCs w:val="28"/>
        </w:rPr>
        <w:t xml:space="preserve"> adjusting</w:t>
      </w:r>
      <w:r w:rsidR="00AC140A" w:rsidRPr="002A25EE">
        <w:rPr>
          <w:rFonts w:asciiTheme="majorHAnsi" w:hAnsiTheme="majorHAnsi"/>
          <w:sz w:val="28"/>
          <w:szCs w:val="28"/>
        </w:rPr>
        <w:t xml:space="preserve"> weights  to it. </w:t>
      </w:r>
      <w:r w:rsidR="00ED3F3E" w:rsidRPr="002A25EE">
        <w:rPr>
          <w:rFonts w:asciiTheme="majorHAnsi" w:hAnsiTheme="majorHAnsi"/>
          <w:sz w:val="28"/>
          <w:szCs w:val="28"/>
        </w:rPr>
        <w:t xml:space="preserve"> </w:t>
      </w:r>
      <w:r w:rsidR="00BB5E04">
        <w:rPr>
          <w:rFonts w:asciiTheme="majorHAnsi" w:hAnsiTheme="majorHAnsi"/>
          <w:sz w:val="28"/>
          <w:szCs w:val="28"/>
        </w:rPr>
        <w:t>Since the Costing Out Study was done t</w:t>
      </w:r>
      <w:r w:rsidR="00ED3F3E" w:rsidRPr="002A25EE">
        <w:rPr>
          <w:rFonts w:asciiTheme="majorHAnsi" w:hAnsiTheme="majorHAnsi"/>
          <w:sz w:val="28"/>
          <w:szCs w:val="28"/>
        </w:rPr>
        <w:t>here have been changes</w:t>
      </w:r>
      <w:r w:rsidR="00A2035D">
        <w:rPr>
          <w:rFonts w:asciiTheme="majorHAnsi" w:hAnsiTheme="majorHAnsi"/>
          <w:sz w:val="28"/>
          <w:szCs w:val="28"/>
        </w:rPr>
        <w:t xml:space="preserve"> in instructional requirements</w:t>
      </w:r>
      <w:r w:rsidR="00ED3F3E" w:rsidRPr="002A25EE">
        <w:rPr>
          <w:rFonts w:asciiTheme="majorHAnsi" w:hAnsiTheme="majorHAnsi"/>
          <w:sz w:val="28"/>
          <w:szCs w:val="28"/>
        </w:rPr>
        <w:t xml:space="preserve"> that need to be taken into account</w:t>
      </w:r>
      <w:r>
        <w:rPr>
          <w:rFonts w:asciiTheme="majorHAnsi" w:hAnsiTheme="majorHAnsi"/>
          <w:sz w:val="28"/>
          <w:szCs w:val="28"/>
        </w:rPr>
        <w:t>, for example, such as</w:t>
      </w:r>
      <w:r w:rsidR="00ED3F3E" w:rsidRPr="002A25EE">
        <w:rPr>
          <w:rFonts w:asciiTheme="majorHAnsi" w:hAnsiTheme="majorHAnsi"/>
          <w:sz w:val="28"/>
          <w:szCs w:val="28"/>
        </w:rPr>
        <w:t xml:space="preserve">  the increased remediation needs for</w:t>
      </w:r>
      <w:r w:rsidR="00297378">
        <w:rPr>
          <w:rFonts w:asciiTheme="majorHAnsi" w:hAnsiTheme="majorHAnsi"/>
          <w:sz w:val="28"/>
          <w:szCs w:val="28"/>
        </w:rPr>
        <w:t xml:space="preserve"> students not passing Keystone graduation exams which did not exist in 2007</w:t>
      </w:r>
      <w:r w:rsidR="00DE61FC" w:rsidRPr="002A25EE">
        <w:rPr>
          <w:rFonts w:asciiTheme="majorHAnsi" w:hAnsiTheme="majorHAnsi"/>
          <w:sz w:val="28"/>
          <w:szCs w:val="28"/>
        </w:rPr>
        <w:t xml:space="preserve">, </w:t>
      </w:r>
      <w:r>
        <w:rPr>
          <w:rFonts w:asciiTheme="majorHAnsi" w:hAnsiTheme="majorHAnsi"/>
          <w:sz w:val="28"/>
          <w:szCs w:val="28"/>
        </w:rPr>
        <w:t>the</w:t>
      </w:r>
      <w:r w:rsidR="00DE61FC" w:rsidRPr="002A25EE">
        <w:rPr>
          <w:rFonts w:asciiTheme="majorHAnsi" w:hAnsiTheme="majorHAnsi"/>
          <w:sz w:val="28"/>
          <w:szCs w:val="28"/>
        </w:rPr>
        <w:t xml:space="preserve"> </w:t>
      </w:r>
      <w:r w:rsidR="00A2035D">
        <w:rPr>
          <w:rFonts w:asciiTheme="majorHAnsi" w:hAnsiTheme="majorHAnsi"/>
          <w:sz w:val="28"/>
          <w:szCs w:val="28"/>
        </w:rPr>
        <w:t xml:space="preserve"> cost of </w:t>
      </w:r>
      <w:r w:rsidR="00DE61FC" w:rsidRPr="002A25EE">
        <w:rPr>
          <w:rFonts w:asciiTheme="majorHAnsi" w:hAnsiTheme="majorHAnsi"/>
          <w:sz w:val="28"/>
          <w:szCs w:val="28"/>
        </w:rPr>
        <w:t>training and materials for the new</w:t>
      </w:r>
      <w:r w:rsidR="006A4F1A">
        <w:rPr>
          <w:rFonts w:asciiTheme="majorHAnsi" w:hAnsiTheme="majorHAnsi"/>
          <w:sz w:val="28"/>
          <w:szCs w:val="28"/>
        </w:rPr>
        <w:t xml:space="preserve"> Pennsylvania </w:t>
      </w:r>
      <w:r w:rsidR="00DE61FC" w:rsidRPr="002A25EE">
        <w:rPr>
          <w:rFonts w:asciiTheme="majorHAnsi" w:hAnsiTheme="majorHAnsi"/>
          <w:sz w:val="28"/>
          <w:szCs w:val="28"/>
        </w:rPr>
        <w:t xml:space="preserve"> Core standards</w:t>
      </w:r>
      <w:r>
        <w:rPr>
          <w:rFonts w:asciiTheme="majorHAnsi" w:hAnsiTheme="majorHAnsi"/>
          <w:sz w:val="28"/>
          <w:szCs w:val="28"/>
        </w:rPr>
        <w:t xml:space="preserve">, and the </w:t>
      </w:r>
      <w:r w:rsidR="00A2035D">
        <w:rPr>
          <w:rFonts w:asciiTheme="majorHAnsi" w:hAnsiTheme="majorHAnsi"/>
          <w:sz w:val="28"/>
          <w:szCs w:val="28"/>
        </w:rPr>
        <w:t>increases in unreimbursed pension costs</w:t>
      </w:r>
      <w:r w:rsidR="00DE61FC" w:rsidRPr="002A25EE">
        <w:rPr>
          <w:rFonts w:asciiTheme="majorHAnsi" w:hAnsiTheme="majorHAnsi"/>
          <w:sz w:val="28"/>
          <w:szCs w:val="28"/>
        </w:rPr>
        <w:t>.</w:t>
      </w:r>
      <w:r w:rsidR="00A2035D">
        <w:rPr>
          <w:rFonts w:asciiTheme="majorHAnsi" w:hAnsiTheme="majorHAnsi"/>
          <w:sz w:val="28"/>
          <w:szCs w:val="28"/>
        </w:rPr>
        <w:t xml:space="preserve"> </w:t>
      </w:r>
      <w:r w:rsidR="00DE61FC" w:rsidRPr="002A25EE">
        <w:rPr>
          <w:rFonts w:asciiTheme="majorHAnsi" w:hAnsiTheme="majorHAnsi"/>
          <w:sz w:val="28"/>
          <w:szCs w:val="28"/>
        </w:rPr>
        <w:t xml:space="preserve"> </w:t>
      </w:r>
      <w:r w:rsidR="00342679">
        <w:rPr>
          <w:rFonts w:asciiTheme="majorHAnsi" w:hAnsiTheme="majorHAnsi"/>
          <w:sz w:val="28"/>
          <w:szCs w:val="28"/>
        </w:rPr>
        <w:t xml:space="preserve">Whatever process is used to come up with a new base cost </w:t>
      </w:r>
      <w:r w:rsidR="00A2035D">
        <w:rPr>
          <w:rFonts w:asciiTheme="majorHAnsi" w:hAnsiTheme="majorHAnsi"/>
          <w:sz w:val="28"/>
          <w:szCs w:val="28"/>
        </w:rPr>
        <w:t xml:space="preserve">  </w:t>
      </w:r>
      <w:r w:rsidR="00ED3F3E" w:rsidRPr="00A2035D">
        <w:rPr>
          <w:rFonts w:asciiTheme="majorHAnsi" w:hAnsiTheme="majorHAnsi"/>
          <w:b/>
          <w:sz w:val="28"/>
          <w:szCs w:val="28"/>
        </w:rPr>
        <w:t xml:space="preserve">it is absolutely essential that </w:t>
      </w:r>
      <w:r w:rsidR="003314FB" w:rsidRPr="00A2035D">
        <w:rPr>
          <w:rFonts w:asciiTheme="majorHAnsi" w:hAnsiTheme="majorHAnsi"/>
          <w:b/>
          <w:sz w:val="28"/>
          <w:szCs w:val="28"/>
        </w:rPr>
        <w:t xml:space="preserve"> </w:t>
      </w:r>
      <w:r w:rsidR="00342679">
        <w:rPr>
          <w:rFonts w:asciiTheme="majorHAnsi" w:hAnsiTheme="majorHAnsi"/>
          <w:b/>
          <w:sz w:val="28"/>
          <w:szCs w:val="28"/>
        </w:rPr>
        <w:t xml:space="preserve">it be </w:t>
      </w:r>
      <w:r w:rsidR="00B22E56" w:rsidRPr="00A2035D">
        <w:rPr>
          <w:rFonts w:asciiTheme="majorHAnsi" w:hAnsiTheme="majorHAnsi"/>
          <w:b/>
          <w:sz w:val="28"/>
          <w:szCs w:val="28"/>
        </w:rPr>
        <w:t xml:space="preserve"> </w:t>
      </w:r>
      <w:r w:rsidR="003314FB" w:rsidRPr="00A2035D">
        <w:rPr>
          <w:rFonts w:asciiTheme="majorHAnsi" w:hAnsiTheme="majorHAnsi"/>
          <w:b/>
          <w:sz w:val="28"/>
          <w:szCs w:val="28"/>
        </w:rPr>
        <w:t xml:space="preserve">based on realistic </w:t>
      </w:r>
      <w:r w:rsidR="00940EBA" w:rsidRPr="00A2035D">
        <w:rPr>
          <w:rFonts w:asciiTheme="majorHAnsi" w:hAnsiTheme="majorHAnsi"/>
          <w:b/>
          <w:sz w:val="28"/>
          <w:szCs w:val="28"/>
        </w:rPr>
        <w:t xml:space="preserve">staffing </w:t>
      </w:r>
      <w:r w:rsidR="00342679">
        <w:rPr>
          <w:rFonts w:asciiTheme="majorHAnsi" w:hAnsiTheme="majorHAnsi"/>
          <w:b/>
          <w:sz w:val="28"/>
          <w:szCs w:val="28"/>
        </w:rPr>
        <w:t xml:space="preserve">levels </w:t>
      </w:r>
      <w:r w:rsidR="00940EBA" w:rsidRPr="00A2035D">
        <w:rPr>
          <w:rFonts w:asciiTheme="majorHAnsi" w:hAnsiTheme="majorHAnsi"/>
          <w:b/>
          <w:sz w:val="28"/>
          <w:szCs w:val="28"/>
        </w:rPr>
        <w:t>of teachers, counselors, nurses, aides, security personnel, etc.</w:t>
      </w:r>
      <w:r w:rsidR="00BC29EF" w:rsidRPr="00A2035D">
        <w:rPr>
          <w:rFonts w:asciiTheme="majorHAnsi" w:hAnsiTheme="majorHAnsi"/>
          <w:b/>
          <w:sz w:val="28"/>
          <w:szCs w:val="28"/>
        </w:rPr>
        <w:t xml:space="preserve"> sufficient</w:t>
      </w:r>
      <w:r w:rsidR="003314FB" w:rsidRPr="00A2035D">
        <w:rPr>
          <w:rFonts w:asciiTheme="majorHAnsi" w:hAnsiTheme="majorHAnsi"/>
          <w:b/>
          <w:sz w:val="28"/>
          <w:szCs w:val="28"/>
        </w:rPr>
        <w:t xml:space="preserve"> to meet state standards.</w:t>
      </w:r>
      <w:r w:rsidR="008F7842" w:rsidRPr="00A2035D">
        <w:rPr>
          <w:rFonts w:asciiTheme="majorHAnsi" w:hAnsiTheme="majorHAnsi"/>
          <w:b/>
          <w:sz w:val="28"/>
          <w:szCs w:val="28"/>
        </w:rPr>
        <w:t xml:space="preserve"> </w:t>
      </w:r>
      <w:r w:rsidR="008F7842">
        <w:rPr>
          <w:rFonts w:asciiTheme="majorHAnsi" w:hAnsiTheme="majorHAnsi"/>
          <w:sz w:val="28"/>
          <w:szCs w:val="28"/>
        </w:rPr>
        <w:t xml:space="preserve">That is what is meant by Adequacy.  </w:t>
      </w:r>
      <w:r w:rsidR="003314FB">
        <w:rPr>
          <w:rFonts w:asciiTheme="majorHAnsi" w:hAnsiTheme="majorHAnsi"/>
          <w:sz w:val="28"/>
          <w:szCs w:val="28"/>
        </w:rPr>
        <w:t xml:space="preserve"> </w:t>
      </w:r>
      <w:r w:rsidR="00DB4194">
        <w:rPr>
          <w:rFonts w:asciiTheme="majorHAnsi" w:hAnsiTheme="majorHAnsi"/>
          <w:sz w:val="28"/>
          <w:szCs w:val="28"/>
        </w:rPr>
        <w:lastRenderedPageBreak/>
        <w:t>You cannot demand students and districts meet certain standards and then purposely stay blind to what it costs to meet those standards.</w:t>
      </w:r>
      <w:r w:rsidR="003314FB">
        <w:rPr>
          <w:rFonts w:asciiTheme="majorHAnsi" w:hAnsiTheme="majorHAnsi"/>
          <w:sz w:val="28"/>
          <w:szCs w:val="28"/>
        </w:rPr>
        <w:t xml:space="preserve">  </w:t>
      </w:r>
    </w:p>
    <w:p w:rsidR="00DE61FC" w:rsidRPr="002A25EE" w:rsidRDefault="00DB4194" w:rsidP="000E400F">
      <w:pPr>
        <w:spacing w:line="360" w:lineRule="auto"/>
        <w:ind w:firstLine="720"/>
        <w:rPr>
          <w:rFonts w:asciiTheme="majorHAnsi" w:hAnsiTheme="majorHAnsi"/>
          <w:sz w:val="28"/>
          <w:szCs w:val="28"/>
        </w:rPr>
      </w:pPr>
      <w:r>
        <w:rPr>
          <w:rFonts w:asciiTheme="majorHAnsi" w:hAnsiTheme="majorHAnsi"/>
          <w:sz w:val="28"/>
          <w:szCs w:val="28"/>
        </w:rPr>
        <w:t>Knowing those costs will also remove some</w:t>
      </w:r>
      <w:r w:rsidR="000E3A5E">
        <w:rPr>
          <w:rFonts w:asciiTheme="majorHAnsi" w:hAnsiTheme="majorHAnsi"/>
          <w:sz w:val="28"/>
          <w:szCs w:val="28"/>
        </w:rPr>
        <w:t xml:space="preserve"> false issues</w:t>
      </w:r>
      <w:r w:rsidR="00DE61FC" w:rsidRPr="002A25EE">
        <w:rPr>
          <w:rFonts w:asciiTheme="majorHAnsi" w:hAnsiTheme="majorHAnsi"/>
          <w:sz w:val="28"/>
          <w:szCs w:val="28"/>
        </w:rPr>
        <w:t xml:space="preserve">.  There has been a lot of discussion of </w:t>
      </w:r>
      <w:r w:rsidR="00A2035D">
        <w:rPr>
          <w:rFonts w:asciiTheme="majorHAnsi" w:hAnsiTheme="majorHAnsi"/>
          <w:sz w:val="28"/>
          <w:szCs w:val="28"/>
        </w:rPr>
        <w:t>“</w:t>
      </w:r>
      <w:r w:rsidR="00DE61FC" w:rsidRPr="002A25EE">
        <w:rPr>
          <w:rFonts w:asciiTheme="majorHAnsi" w:hAnsiTheme="majorHAnsi"/>
          <w:sz w:val="28"/>
          <w:szCs w:val="28"/>
        </w:rPr>
        <w:t>hold harmless</w:t>
      </w:r>
      <w:r w:rsidR="00A2035D">
        <w:rPr>
          <w:rFonts w:asciiTheme="majorHAnsi" w:hAnsiTheme="majorHAnsi"/>
          <w:sz w:val="28"/>
          <w:szCs w:val="28"/>
        </w:rPr>
        <w:t>”</w:t>
      </w:r>
      <w:r w:rsidR="00CD2083">
        <w:rPr>
          <w:rFonts w:asciiTheme="majorHAnsi" w:hAnsiTheme="majorHAnsi"/>
          <w:sz w:val="28"/>
          <w:szCs w:val="28"/>
        </w:rPr>
        <w:t xml:space="preserve"> (ie never adjusting a district’s state appropriation downward)</w:t>
      </w:r>
      <w:r w:rsidR="00DE61FC" w:rsidRPr="002A25EE">
        <w:rPr>
          <w:rFonts w:asciiTheme="majorHAnsi" w:hAnsiTheme="majorHAnsi"/>
          <w:sz w:val="28"/>
          <w:szCs w:val="28"/>
        </w:rPr>
        <w:t xml:space="preserve">, coupled with a fear that either state money would be redistributed away from some districts or that starting to accurately count students would hurt districts that have been losing population.  </w:t>
      </w:r>
      <w:r w:rsidR="00DE61FC" w:rsidRPr="00A2035D">
        <w:rPr>
          <w:rFonts w:asciiTheme="majorHAnsi" w:hAnsiTheme="majorHAnsi"/>
          <w:b/>
          <w:sz w:val="28"/>
          <w:szCs w:val="28"/>
        </w:rPr>
        <w:t>Those c</w:t>
      </w:r>
      <w:r w:rsidR="00660DFB" w:rsidRPr="00A2035D">
        <w:rPr>
          <w:rFonts w:asciiTheme="majorHAnsi" w:hAnsiTheme="majorHAnsi"/>
          <w:b/>
          <w:sz w:val="28"/>
          <w:szCs w:val="28"/>
        </w:rPr>
        <w:t>oncerns</w:t>
      </w:r>
      <w:r w:rsidR="002A25EE" w:rsidRPr="00A2035D">
        <w:rPr>
          <w:rFonts w:asciiTheme="majorHAnsi" w:hAnsiTheme="majorHAnsi"/>
          <w:b/>
          <w:sz w:val="28"/>
          <w:szCs w:val="28"/>
        </w:rPr>
        <w:t xml:space="preserve">, however, </w:t>
      </w:r>
      <w:r w:rsidR="00660DFB" w:rsidRPr="00A2035D">
        <w:rPr>
          <w:rFonts w:asciiTheme="majorHAnsi" w:hAnsiTheme="majorHAnsi"/>
          <w:b/>
          <w:sz w:val="28"/>
          <w:szCs w:val="28"/>
        </w:rPr>
        <w:t>predominately arise</w:t>
      </w:r>
      <w:r w:rsidR="002A25EE" w:rsidRPr="00A2035D">
        <w:rPr>
          <w:rFonts w:asciiTheme="majorHAnsi" w:hAnsiTheme="majorHAnsi"/>
          <w:b/>
          <w:sz w:val="28"/>
          <w:szCs w:val="28"/>
        </w:rPr>
        <w:t xml:space="preserve"> in</w:t>
      </w:r>
      <w:r w:rsidR="00DE61FC" w:rsidRPr="00A2035D">
        <w:rPr>
          <w:rFonts w:asciiTheme="majorHAnsi" w:hAnsiTheme="majorHAnsi"/>
          <w:b/>
          <w:sz w:val="28"/>
          <w:szCs w:val="28"/>
        </w:rPr>
        <w:t xml:space="preserve"> a system which ignores</w:t>
      </w:r>
      <w:r w:rsidR="00B22E56" w:rsidRPr="00A2035D">
        <w:rPr>
          <w:rFonts w:asciiTheme="majorHAnsi" w:hAnsiTheme="majorHAnsi"/>
          <w:b/>
          <w:sz w:val="28"/>
          <w:szCs w:val="28"/>
        </w:rPr>
        <w:t xml:space="preserve"> the basic issue of whether there are adequate resources to meet the cost of educating a student. </w:t>
      </w:r>
      <w:r w:rsidR="00DE61FC" w:rsidRPr="002A25EE">
        <w:rPr>
          <w:rFonts w:asciiTheme="majorHAnsi" w:hAnsiTheme="majorHAnsi"/>
          <w:sz w:val="28"/>
          <w:szCs w:val="28"/>
        </w:rPr>
        <w:t xml:space="preserve">  Let me explain by </w:t>
      </w:r>
      <w:r w:rsidR="00342679">
        <w:rPr>
          <w:rFonts w:asciiTheme="majorHAnsi" w:hAnsiTheme="majorHAnsi"/>
          <w:sz w:val="28"/>
          <w:szCs w:val="28"/>
        </w:rPr>
        <w:t xml:space="preserve"> an example</w:t>
      </w:r>
      <w:r w:rsidR="00DE61FC" w:rsidRPr="002A25EE">
        <w:rPr>
          <w:rFonts w:asciiTheme="majorHAnsi" w:hAnsiTheme="majorHAnsi"/>
          <w:sz w:val="28"/>
          <w:szCs w:val="28"/>
        </w:rPr>
        <w:t xml:space="preserve">. </w:t>
      </w:r>
      <w:r w:rsidR="00BF51EF" w:rsidRPr="002A25EE">
        <w:rPr>
          <w:rFonts w:asciiTheme="majorHAnsi" w:hAnsiTheme="majorHAnsi"/>
          <w:sz w:val="28"/>
          <w:szCs w:val="28"/>
        </w:rPr>
        <w:t xml:space="preserve"> The Costing Out Study found that every district</w:t>
      </w:r>
      <w:r w:rsidR="002A25EE">
        <w:rPr>
          <w:rFonts w:asciiTheme="majorHAnsi" w:hAnsiTheme="majorHAnsi"/>
          <w:sz w:val="28"/>
          <w:szCs w:val="28"/>
        </w:rPr>
        <w:t>--</w:t>
      </w:r>
      <w:r w:rsidR="00BF51EF" w:rsidRPr="002A25EE">
        <w:rPr>
          <w:rFonts w:asciiTheme="majorHAnsi" w:hAnsiTheme="majorHAnsi"/>
          <w:sz w:val="28"/>
          <w:szCs w:val="28"/>
        </w:rPr>
        <w:t xml:space="preserve"> except 22 well</w:t>
      </w:r>
      <w:r w:rsidR="002A25EE">
        <w:rPr>
          <w:rFonts w:asciiTheme="majorHAnsi" w:hAnsiTheme="majorHAnsi"/>
          <w:sz w:val="28"/>
          <w:szCs w:val="28"/>
        </w:rPr>
        <w:t>-</w:t>
      </w:r>
      <w:r w:rsidR="00BF51EF" w:rsidRPr="002A25EE">
        <w:rPr>
          <w:rFonts w:asciiTheme="majorHAnsi" w:hAnsiTheme="majorHAnsi"/>
          <w:sz w:val="28"/>
          <w:szCs w:val="28"/>
        </w:rPr>
        <w:t>to</w:t>
      </w:r>
      <w:r w:rsidR="002A25EE">
        <w:rPr>
          <w:rFonts w:asciiTheme="majorHAnsi" w:hAnsiTheme="majorHAnsi"/>
          <w:sz w:val="28"/>
          <w:szCs w:val="28"/>
        </w:rPr>
        <w:t>-</w:t>
      </w:r>
      <w:r w:rsidR="00BF51EF" w:rsidRPr="002A25EE">
        <w:rPr>
          <w:rFonts w:asciiTheme="majorHAnsi" w:hAnsiTheme="majorHAnsi"/>
          <w:sz w:val="28"/>
          <w:szCs w:val="28"/>
        </w:rPr>
        <w:t>do suburban districts in five counties and three other districts</w:t>
      </w:r>
      <w:r w:rsidR="002A25EE">
        <w:rPr>
          <w:rFonts w:asciiTheme="majorHAnsi" w:hAnsiTheme="majorHAnsi"/>
          <w:sz w:val="28"/>
          <w:szCs w:val="28"/>
        </w:rPr>
        <w:t>--</w:t>
      </w:r>
      <w:r w:rsidR="00BF51EF" w:rsidRPr="002A25EE">
        <w:rPr>
          <w:rFonts w:asciiTheme="majorHAnsi" w:hAnsiTheme="majorHAnsi"/>
          <w:sz w:val="28"/>
          <w:szCs w:val="28"/>
        </w:rPr>
        <w:t xml:space="preserve"> all needed additional funding in order to be able to bring students to proficiency levels.</w:t>
      </w:r>
      <w:r w:rsidR="007614F6" w:rsidRPr="002A25EE">
        <w:rPr>
          <w:rFonts w:asciiTheme="majorHAnsi" w:hAnsiTheme="majorHAnsi"/>
          <w:sz w:val="28"/>
          <w:szCs w:val="28"/>
        </w:rPr>
        <w:t xml:space="preserve">  None of the</w:t>
      </w:r>
      <w:r w:rsidR="000E400F">
        <w:rPr>
          <w:rFonts w:asciiTheme="majorHAnsi" w:hAnsiTheme="majorHAnsi"/>
          <w:sz w:val="28"/>
          <w:szCs w:val="28"/>
        </w:rPr>
        <w:t xml:space="preserve"> 475 other</w:t>
      </w:r>
      <w:r w:rsidR="007614F6" w:rsidRPr="002A25EE">
        <w:rPr>
          <w:rFonts w:asciiTheme="majorHAnsi" w:hAnsiTheme="majorHAnsi"/>
          <w:sz w:val="28"/>
          <w:szCs w:val="28"/>
        </w:rPr>
        <w:t xml:space="preserve"> districts need</w:t>
      </w:r>
      <w:r w:rsidR="00BF51EF" w:rsidRPr="002A25EE">
        <w:rPr>
          <w:rFonts w:asciiTheme="majorHAnsi" w:hAnsiTheme="majorHAnsi"/>
          <w:sz w:val="28"/>
          <w:szCs w:val="28"/>
        </w:rPr>
        <w:t xml:space="preserve"> hold harmless, therefore, because they should be getting more money, not less.  </w:t>
      </w:r>
      <w:r w:rsidR="005F49B1">
        <w:rPr>
          <w:rFonts w:asciiTheme="majorHAnsi" w:hAnsiTheme="majorHAnsi"/>
          <w:sz w:val="28"/>
          <w:szCs w:val="28"/>
        </w:rPr>
        <w:t xml:space="preserve">To say it another way:  the issue of “hold harmless” goes away if the basis for allocating funding is based on the costs of educating children, rather </w:t>
      </w:r>
      <w:r w:rsidR="000E400F">
        <w:rPr>
          <w:rFonts w:asciiTheme="majorHAnsi" w:hAnsiTheme="majorHAnsi"/>
          <w:sz w:val="28"/>
          <w:szCs w:val="28"/>
        </w:rPr>
        <w:t>than</w:t>
      </w:r>
      <w:r w:rsidR="005F49B1">
        <w:rPr>
          <w:rFonts w:asciiTheme="majorHAnsi" w:hAnsiTheme="majorHAnsi"/>
          <w:sz w:val="28"/>
          <w:szCs w:val="28"/>
        </w:rPr>
        <w:t xml:space="preserve"> allocating funding by dividing up too little money.  </w:t>
      </w:r>
    </w:p>
    <w:p w:rsidR="00342679" w:rsidRDefault="007614F6" w:rsidP="000D4AC8">
      <w:pPr>
        <w:spacing w:line="360" w:lineRule="auto"/>
        <w:ind w:firstLine="720"/>
        <w:rPr>
          <w:rFonts w:asciiTheme="majorHAnsi" w:hAnsiTheme="majorHAnsi"/>
          <w:sz w:val="28"/>
          <w:szCs w:val="28"/>
        </w:rPr>
      </w:pPr>
      <w:r w:rsidRPr="002A25EE">
        <w:rPr>
          <w:rFonts w:asciiTheme="majorHAnsi" w:hAnsiTheme="majorHAnsi"/>
          <w:sz w:val="28"/>
          <w:szCs w:val="28"/>
        </w:rPr>
        <w:t xml:space="preserve">So my message on this point is simple:  </w:t>
      </w:r>
      <w:r w:rsidRPr="005F49B1">
        <w:rPr>
          <w:rFonts w:asciiTheme="majorHAnsi" w:hAnsiTheme="majorHAnsi"/>
          <w:b/>
          <w:sz w:val="28"/>
          <w:szCs w:val="28"/>
        </w:rPr>
        <w:t xml:space="preserve">we need an adequacy determination for all districts, </w:t>
      </w:r>
      <w:r w:rsidR="007B735A" w:rsidRPr="005F49B1">
        <w:rPr>
          <w:rFonts w:asciiTheme="majorHAnsi" w:hAnsiTheme="majorHAnsi"/>
          <w:b/>
          <w:sz w:val="28"/>
          <w:szCs w:val="28"/>
        </w:rPr>
        <w:t>because that is what our students</w:t>
      </w:r>
      <w:r w:rsidR="00B22E56" w:rsidRPr="005F49B1">
        <w:rPr>
          <w:rFonts w:asciiTheme="majorHAnsi" w:hAnsiTheme="majorHAnsi"/>
          <w:b/>
          <w:sz w:val="28"/>
          <w:szCs w:val="28"/>
        </w:rPr>
        <w:t xml:space="preserve"> need and </w:t>
      </w:r>
      <w:r w:rsidR="007B735A" w:rsidRPr="005F49B1">
        <w:rPr>
          <w:rFonts w:asciiTheme="majorHAnsi" w:hAnsiTheme="majorHAnsi"/>
          <w:b/>
          <w:sz w:val="28"/>
          <w:szCs w:val="28"/>
        </w:rPr>
        <w:t xml:space="preserve"> deserve, and for the very few districts not entitled to additional state funding we can devise transition plans which will buffer the problem</w:t>
      </w:r>
      <w:r w:rsidR="000E400F">
        <w:rPr>
          <w:rFonts w:asciiTheme="majorHAnsi" w:hAnsiTheme="majorHAnsi"/>
          <w:b/>
          <w:sz w:val="28"/>
          <w:szCs w:val="28"/>
        </w:rPr>
        <w:t xml:space="preserve"> without taking any money away</w:t>
      </w:r>
      <w:r w:rsidR="007B735A" w:rsidRPr="005F49B1">
        <w:rPr>
          <w:rFonts w:asciiTheme="majorHAnsi" w:hAnsiTheme="majorHAnsi"/>
          <w:b/>
          <w:sz w:val="28"/>
          <w:szCs w:val="28"/>
        </w:rPr>
        <w:t>.</w:t>
      </w:r>
      <w:r w:rsidR="005F49B1">
        <w:rPr>
          <w:rFonts w:asciiTheme="majorHAnsi" w:hAnsiTheme="majorHAnsi"/>
          <w:sz w:val="28"/>
          <w:szCs w:val="28"/>
        </w:rPr>
        <w:t xml:space="preserve">  </w:t>
      </w:r>
    </w:p>
    <w:p w:rsidR="00DE61FC" w:rsidRPr="002A25EE" w:rsidRDefault="00DE61FC" w:rsidP="000D4AC8">
      <w:pPr>
        <w:spacing w:line="360" w:lineRule="auto"/>
        <w:ind w:firstLine="720"/>
        <w:rPr>
          <w:rFonts w:asciiTheme="majorHAnsi" w:hAnsiTheme="majorHAnsi"/>
          <w:sz w:val="28"/>
          <w:szCs w:val="28"/>
        </w:rPr>
      </w:pPr>
      <w:r w:rsidRPr="000E3A5E">
        <w:rPr>
          <w:rFonts w:asciiTheme="majorHAnsi" w:hAnsiTheme="majorHAnsi"/>
          <w:b/>
          <w:sz w:val="28"/>
          <w:szCs w:val="28"/>
        </w:rPr>
        <w:t xml:space="preserve">3) Finally, </w:t>
      </w:r>
      <w:r w:rsidR="00D7536E">
        <w:rPr>
          <w:rFonts w:asciiTheme="majorHAnsi" w:hAnsiTheme="majorHAnsi"/>
          <w:b/>
          <w:sz w:val="28"/>
          <w:szCs w:val="28"/>
        </w:rPr>
        <w:t xml:space="preserve"> the Commission</w:t>
      </w:r>
      <w:r w:rsidRPr="000E3A5E">
        <w:rPr>
          <w:rFonts w:asciiTheme="majorHAnsi" w:hAnsiTheme="majorHAnsi"/>
          <w:b/>
          <w:sz w:val="28"/>
          <w:szCs w:val="28"/>
        </w:rPr>
        <w:t xml:space="preserve"> must come up with a method to divide the cost between state and local taxpayers.</w:t>
      </w:r>
      <w:r w:rsidRPr="002A25EE">
        <w:rPr>
          <w:rFonts w:asciiTheme="majorHAnsi" w:hAnsiTheme="majorHAnsi"/>
          <w:sz w:val="28"/>
          <w:szCs w:val="28"/>
        </w:rPr>
        <w:t xml:space="preserve">  That is a task that the  Costing </w:t>
      </w:r>
      <w:r w:rsidRPr="002A25EE">
        <w:rPr>
          <w:rFonts w:asciiTheme="majorHAnsi" w:hAnsiTheme="majorHAnsi"/>
          <w:sz w:val="28"/>
          <w:szCs w:val="28"/>
        </w:rPr>
        <w:lastRenderedPageBreak/>
        <w:t xml:space="preserve">Out Study did not address, although it suggested that given the low state share the state should pick up the bulk of the increases.  </w:t>
      </w:r>
      <w:r w:rsidR="00095D1D">
        <w:rPr>
          <w:rFonts w:asciiTheme="majorHAnsi" w:hAnsiTheme="majorHAnsi"/>
          <w:sz w:val="28"/>
          <w:szCs w:val="28"/>
        </w:rPr>
        <w:t xml:space="preserve">This </w:t>
      </w:r>
      <w:r w:rsidR="00296CEB" w:rsidRPr="002A25EE">
        <w:rPr>
          <w:rFonts w:asciiTheme="majorHAnsi" w:hAnsiTheme="majorHAnsi"/>
          <w:sz w:val="28"/>
          <w:szCs w:val="28"/>
        </w:rPr>
        <w:t xml:space="preserve">task  has not received sufficient attention, and it needs the most radical change.  It is, after all, the failure of the state to put in a sufficient share of the funding which lies at the heart of </w:t>
      </w:r>
      <w:r w:rsidR="009626BC">
        <w:rPr>
          <w:rFonts w:asciiTheme="majorHAnsi" w:hAnsiTheme="majorHAnsi"/>
          <w:sz w:val="28"/>
          <w:szCs w:val="28"/>
        </w:rPr>
        <w:t xml:space="preserve"> our funding problem</w:t>
      </w:r>
      <w:r w:rsidR="00296CEB" w:rsidRPr="002A25EE">
        <w:rPr>
          <w:rFonts w:asciiTheme="majorHAnsi" w:hAnsiTheme="majorHAnsi"/>
          <w:sz w:val="28"/>
          <w:szCs w:val="28"/>
        </w:rPr>
        <w:t xml:space="preserve">. </w:t>
      </w:r>
    </w:p>
    <w:p w:rsidR="000D4AC8" w:rsidRPr="000D4AC8" w:rsidRDefault="000E3A5E" w:rsidP="000D4AC8">
      <w:pPr>
        <w:spacing w:line="360" w:lineRule="auto"/>
        <w:ind w:firstLine="720"/>
        <w:rPr>
          <w:rFonts w:asciiTheme="majorHAnsi" w:hAnsiTheme="majorHAnsi" w:cs="Times New Roman"/>
          <w:sz w:val="28"/>
          <w:szCs w:val="28"/>
        </w:rPr>
      </w:pPr>
      <w:r>
        <w:rPr>
          <w:rFonts w:asciiTheme="majorHAnsi" w:hAnsiTheme="majorHAnsi"/>
          <w:sz w:val="28"/>
          <w:szCs w:val="28"/>
        </w:rPr>
        <w:t xml:space="preserve">I want to recognize that </w:t>
      </w:r>
      <w:r w:rsidR="00296CEB" w:rsidRPr="002A25EE">
        <w:rPr>
          <w:rFonts w:asciiTheme="majorHAnsi" w:hAnsiTheme="majorHAnsi"/>
          <w:sz w:val="28"/>
          <w:szCs w:val="28"/>
        </w:rPr>
        <w:t xml:space="preserve">this is not a partisan issue,  because the state share </w:t>
      </w:r>
      <w:r w:rsidR="0015439C">
        <w:rPr>
          <w:rFonts w:asciiTheme="majorHAnsi" w:hAnsiTheme="majorHAnsi"/>
          <w:sz w:val="28"/>
          <w:szCs w:val="28"/>
        </w:rPr>
        <w:t xml:space="preserve">has trended </w:t>
      </w:r>
      <w:r w:rsidR="00296CEB" w:rsidRPr="002A25EE">
        <w:rPr>
          <w:rFonts w:asciiTheme="majorHAnsi" w:hAnsiTheme="majorHAnsi"/>
          <w:sz w:val="28"/>
          <w:szCs w:val="28"/>
        </w:rPr>
        <w:t xml:space="preserve">down under administrations of both parties. </w:t>
      </w:r>
      <w:r w:rsidR="00342679">
        <w:rPr>
          <w:rFonts w:asciiTheme="majorHAnsi" w:hAnsiTheme="majorHAnsi"/>
          <w:sz w:val="28"/>
          <w:szCs w:val="28"/>
        </w:rPr>
        <w:t xml:space="preserve"> </w:t>
      </w:r>
      <w:r w:rsidR="006A4F1A">
        <w:rPr>
          <w:rFonts w:asciiTheme="majorHAnsi" w:hAnsiTheme="majorHAnsi"/>
          <w:sz w:val="28"/>
          <w:szCs w:val="28"/>
        </w:rPr>
        <w:t>The legislature’s</w:t>
      </w:r>
      <w:r w:rsidR="000D4AC8">
        <w:rPr>
          <w:rFonts w:asciiTheme="majorHAnsi" w:hAnsiTheme="majorHAnsi"/>
          <w:sz w:val="28"/>
          <w:szCs w:val="28"/>
        </w:rPr>
        <w:t xml:space="preserve"> reluctance to raise sufficient state revenues </w:t>
      </w:r>
      <w:r w:rsidR="00154DA3">
        <w:rPr>
          <w:rFonts w:asciiTheme="majorHAnsi" w:hAnsiTheme="majorHAnsi"/>
          <w:sz w:val="28"/>
          <w:szCs w:val="28"/>
        </w:rPr>
        <w:t xml:space="preserve">is </w:t>
      </w:r>
      <w:r w:rsidR="000D4AC8" w:rsidRPr="000D4AC8">
        <w:rPr>
          <w:rFonts w:asciiTheme="majorHAnsi" w:hAnsiTheme="majorHAnsi" w:cs="Times New Roman"/>
          <w:sz w:val="28"/>
          <w:szCs w:val="28"/>
        </w:rPr>
        <w:t xml:space="preserve">aided </w:t>
      </w:r>
      <w:r w:rsidR="00154DA3">
        <w:rPr>
          <w:rFonts w:asciiTheme="majorHAnsi" w:hAnsiTheme="majorHAnsi" w:cs="Times New Roman"/>
          <w:sz w:val="28"/>
          <w:szCs w:val="28"/>
        </w:rPr>
        <w:t xml:space="preserve">and abetted </w:t>
      </w:r>
      <w:r w:rsidR="00D7536E">
        <w:rPr>
          <w:rFonts w:asciiTheme="majorHAnsi" w:hAnsiTheme="majorHAnsi" w:cs="Times New Roman"/>
          <w:sz w:val="28"/>
          <w:szCs w:val="28"/>
        </w:rPr>
        <w:t>by the</w:t>
      </w:r>
      <w:r w:rsidR="000D4AC8" w:rsidRPr="000D4AC8">
        <w:rPr>
          <w:rFonts w:asciiTheme="majorHAnsi" w:hAnsiTheme="majorHAnsi" w:cs="Times New Roman"/>
          <w:sz w:val="28"/>
          <w:szCs w:val="28"/>
        </w:rPr>
        <w:t xml:space="preserve"> current funding </w:t>
      </w:r>
      <w:r w:rsidR="00BC4D44">
        <w:rPr>
          <w:rFonts w:asciiTheme="majorHAnsi" w:hAnsiTheme="majorHAnsi" w:cs="Times New Roman"/>
          <w:sz w:val="28"/>
          <w:szCs w:val="28"/>
        </w:rPr>
        <w:t xml:space="preserve">structure </w:t>
      </w:r>
      <w:r w:rsidR="000D4AC8" w:rsidRPr="000D4AC8">
        <w:rPr>
          <w:rFonts w:asciiTheme="majorHAnsi" w:hAnsiTheme="majorHAnsi" w:cs="Times New Roman"/>
          <w:sz w:val="28"/>
          <w:szCs w:val="28"/>
        </w:rPr>
        <w:t xml:space="preserve">which </w:t>
      </w:r>
      <w:r w:rsidR="000D4AC8">
        <w:rPr>
          <w:rFonts w:asciiTheme="majorHAnsi" w:hAnsiTheme="majorHAnsi" w:cs="Times New Roman"/>
          <w:sz w:val="28"/>
          <w:szCs w:val="28"/>
        </w:rPr>
        <w:t>–under the guise of local control—</w:t>
      </w:r>
      <w:r w:rsidR="00154DA3">
        <w:rPr>
          <w:rFonts w:asciiTheme="majorHAnsi" w:hAnsiTheme="majorHAnsi" w:cs="Times New Roman"/>
          <w:sz w:val="28"/>
          <w:szCs w:val="28"/>
        </w:rPr>
        <w:t>places</w:t>
      </w:r>
      <w:r w:rsidR="000D4AC8">
        <w:rPr>
          <w:rFonts w:asciiTheme="majorHAnsi" w:hAnsiTheme="majorHAnsi" w:cs="Times New Roman"/>
          <w:sz w:val="28"/>
          <w:szCs w:val="28"/>
        </w:rPr>
        <w:t xml:space="preserve"> the onus on the</w:t>
      </w:r>
      <w:r w:rsidR="00D7536E">
        <w:rPr>
          <w:rFonts w:asciiTheme="majorHAnsi" w:hAnsiTheme="majorHAnsi" w:cs="Times New Roman"/>
          <w:sz w:val="28"/>
          <w:szCs w:val="28"/>
        </w:rPr>
        <w:t xml:space="preserve"> local school districts to </w:t>
      </w:r>
      <w:r w:rsidR="000D4AC8" w:rsidRPr="000D4AC8">
        <w:rPr>
          <w:rFonts w:asciiTheme="majorHAnsi" w:hAnsiTheme="majorHAnsi" w:cs="Times New Roman"/>
          <w:sz w:val="28"/>
          <w:szCs w:val="28"/>
        </w:rPr>
        <w:t xml:space="preserve">decide how many  additional dollars may be needed and to provide them.  </w:t>
      </w:r>
      <w:r w:rsidR="000D4AC8" w:rsidRPr="000D4AC8">
        <w:rPr>
          <w:rFonts w:asciiTheme="majorHAnsi" w:hAnsiTheme="majorHAnsi" w:cs="Times New Roman"/>
          <w:b/>
          <w:sz w:val="28"/>
          <w:szCs w:val="28"/>
        </w:rPr>
        <w:t xml:space="preserve">The district is seen as the </w:t>
      </w:r>
      <w:r w:rsidR="005F49B1">
        <w:rPr>
          <w:rFonts w:asciiTheme="majorHAnsi" w:hAnsiTheme="majorHAnsi" w:cs="Times New Roman"/>
          <w:b/>
          <w:sz w:val="28"/>
          <w:szCs w:val="28"/>
        </w:rPr>
        <w:t xml:space="preserve">primary </w:t>
      </w:r>
      <w:r w:rsidR="000D4AC8" w:rsidRPr="000D4AC8">
        <w:rPr>
          <w:rFonts w:asciiTheme="majorHAnsi" w:hAnsiTheme="majorHAnsi" w:cs="Times New Roman"/>
          <w:b/>
          <w:sz w:val="28"/>
          <w:szCs w:val="28"/>
        </w:rPr>
        <w:t>funder</w:t>
      </w:r>
      <w:r w:rsidR="000D4AC8">
        <w:rPr>
          <w:rFonts w:asciiTheme="majorHAnsi" w:hAnsiTheme="majorHAnsi" w:cs="Times New Roman"/>
          <w:b/>
          <w:sz w:val="28"/>
          <w:szCs w:val="28"/>
        </w:rPr>
        <w:t xml:space="preserve"> </w:t>
      </w:r>
      <w:r w:rsidR="000D4AC8">
        <w:rPr>
          <w:rFonts w:asciiTheme="majorHAnsi" w:hAnsiTheme="majorHAnsi" w:cs="Times New Roman"/>
          <w:sz w:val="28"/>
          <w:szCs w:val="28"/>
        </w:rPr>
        <w:t xml:space="preserve">because </w:t>
      </w:r>
      <w:r w:rsidR="00545655">
        <w:rPr>
          <w:rFonts w:asciiTheme="majorHAnsi" w:hAnsiTheme="majorHAnsi" w:cs="Times New Roman"/>
          <w:sz w:val="28"/>
          <w:szCs w:val="28"/>
        </w:rPr>
        <w:t>of the now outdated concept that the district</w:t>
      </w:r>
      <w:r w:rsidR="000D4AC8">
        <w:rPr>
          <w:rFonts w:asciiTheme="majorHAnsi" w:hAnsiTheme="majorHAnsi" w:cs="Times New Roman"/>
          <w:sz w:val="28"/>
          <w:szCs w:val="28"/>
        </w:rPr>
        <w:t xml:space="preserve"> sets the standard for how much education is needed. </w:t>
      </w:r>
    </w:p>
    <w:p w:rsidR="000D4AC8" w:rsidRPr="000D4AC8" w:rsidRDefault="000D4AC8" w:rsidP="00BC4D44">
      <w:pPr>
        <w:spacing w:line="360" w:lineRule="auto"/>
        <w:ind w:firstLine="720"/>
        <w:rPr>
          <w:rFonts w:asciiTheme="majorHAnsi" w:hAnsiTheme="majorHAnsi" w:cs="Times New Roman"/>
          <w:sz w:val="28"/>
          <w:szCs w:val="28"/>
        </w:rPr>
      </w:pPr>
      <w:r w:rsidRPr="000D4AC8">
        <w:rPr>
          <w:rFonts w:asciiTheme="majorHAnsi" w:hAnsiTheme="majorHAnsi" w:cs="Times New Roman"/>
          <w:sz w:val="28"/>
          <w:szCs w:val="28"/>
        </w:rPr>
        <w:t>Consequently the General  Assembly  is under no pressure to determine what is actually needed to fund education.  It can give out what is available, and it is the districts’ problem to then set a budget,  each determining what is needed and what it can raise.  This might have made sense at a time when the districts set the standards for what students needed to be taught.</w:t>
      </w:r>
      <w:r w:rsidR="00545655">
        <w:rPr>
          <w:rFonts w:asciiTheme="majorHAnsi" w:hAnsiTheme="majorHAnsi" w:cs="Times New Roman"/>
          <w:sz w:val="28"/>
          <w:szCs w:val="28"/>
        </w:rPr>
        <w:t xml:space="preserve"> But it makes no sense when it is the General Assembly which imposes content standards and assessments. </w:t>
      </w:r>
      <w:r w:rsidRPr="000D4AC8">
        <w:rPr>
          <w:rFonts w:asciiTheme="majorHAnsi" w:hAnsiTheme="majorHAnsi" w:cs="Times New Roman"/>
          <w:sz w:val="28"/>
          <w:szCs w:val="28"/>
        </w:rPr>
        <w:t xml:space="preserve"> In any event it led to an abdication by the General Assembly of its responsibility to determine what was needed and to see that it was actually available. </w:t>
      </w:r>
    </w:p>
    <w:p w:rsidR="000D4AC8" w:rsidRPr="000D4AC8" w:rsidRDefault="000D4AC8" w:rsidP="00BC4D44">
      <w:pPr>
        <w:spacing w:line="360" w:lineRule="auto"/>
        <w:ind w:firstLine="720"/>
        <w:rPr>
          <w:rFonts w:asciiTheme="majorHAnsi" w:hAnsiTheme="majorHAnsi" w:cs="Times New Roman"/>
          <w:sz w:val="28"/>
          <w:szCs w:val="28"/>
        </w:rPr>
      </w:pPr>
      <w:r w:rsidRPr="000D4AC8">
        <w:rPr>
          <w:rFonts w:asciiTheme="majorHAnsi" w:hAnsiTheme="majorHAnsi" w:cs="Times New Roman"/>
          <w:sz w:val="28"/>
          <w:szCs w:val="28"/>
        </w:rPr>
        <w:lastRenderedPageBreak/>
        <w:t xml:space="preserve">The results for districts is </w:t>
      </w:r>
      <w:r w:rsidR="00BC4D44">
        <w:rPr>
          <w:rFonts w:asciiTheme="majorHAnsi" w:hAnsiTheme="majorHAnsi" w:cs="Times New Roman"/>
          <w:sz w:val="28"/>
          <w:szCs w:val="28"/>
        </w:rPr>
        <w:t>the</w:t>
      </w:r>
      <w:r w:rsidRPr="000D4AC8">
        <w:rPr>
          <w:rFonts w:asciiTheme="majorHAnsi" w:hAnsiTheme="majorHAnsi" w:cs="Times New Roman"/>
          <w:sz w:val="28"/>
          <w:szCs w:val="28"/>
        </w:rPr>
        <w:t xml:space="preserve"> huge variation in spending and in local tax burdens</w:t>
      </w:r>
      <w:r w:rsidR="00BC4D44">
        <w:rPr>
          <w:rFonts w:asciiTheme="majorHAnsi" w:hAnsiTheme="majorHAnsi" w:cs="Times New Roman"/>
          <w:sz w:val="28"/>
          <w:szCs w:val="28"/>
        </w:rPr>
        <w:t xml:space="preserve"> noted above</w:t>
      </w:r>
      <w:r w:rsidRPr="000D4AC8">
        <w:rPr>
          <w:rFonts w:asciiTheme="majorHAnsi" w:hAnsiTheme="majorHAnsi" w:cs="Times New Roman"/>
          <w:sz w:val="28"/>
          <w:szCs w:val="28"/>
        </w:rPr>
        <w:t xml:space="preserve">, </w:t>
      </w:r>
      <w:r w:rsidR="00A72592">
        <w:rPr>
          <w:rFonts w:asciiTheme="majorHAnsi" w:hAnsiTheme="majorHAnsi" w:cs="Times New Roman"/>
          <w:sz w:val="28"/>
          <w:szCs w:val="28"/>
        </w:rPr>
        <w:t>and  the huge gap in student performance in the districts with the biggest funding problems.</w:t>
      </w:r>
    </w:p>
    <w:p w:rsidR="00545655" w:rsidRDefault="00A72592" w:rsidP="003314FB">
      <w:pPr>
        <w:spacing w:line="360" w:lineRule="auto"/>
        <w:ind w:firstLine="720"/>
        <w:rPr>
          <w:rFonts w:asciiTheme="majorHAnsi" w:hAnsiTheme="majorHAnsi" w:cs="Times New Roman"/>
          <w:sz w:val="28"/>
          <w:szCs w:val="28"/>
        </w:rPr>
      </w:pPr>
      <w:r>
        <w:rPr>
          <w:rFonts w:asciiTheme="majorHAnsi" w:hAnsiTheme="majorHAnsi" w:cs="Times New Roman"/>
          <w:b/>
          <w:sz w:val="28"/>
          <w:szCs w:val="28"/>
          <w:u w:val="single"/>
        </w:rPr>
        <w:t>It is t</w:t>
      </w:r>
      <w:r w:rsidR="000D4AC8" w:rsidRPr="000D4AC8">
        <w:rPr>
          <w:rFonts w:asciiTheme="majorHAnsi" w:hAnsiTheme="majorHAnsi" w:cs="Times New Roman"/>
          <w:b/>
          <w:sz w:val="28"/>
          <w:szCs w:val="28"/>
          <w:u w:val="single"/>
        </w:rPr>
        <w:t xml:space="preserve">ime to turn the funding </w:t>
      </w:r>
      <w:r>
        <w:rPr>
          <w:rFonts w:asciiTheme="majorHAnsi" w:hAnsiTheme="majorHAnsi" w:cs="Times New Roman"/>
          <w:b/>
          <w:sz w:val="28"/>
          <w:szCs w:val="28"/>
          <w:u w:val="single"/>
        </w:rPr>
        <w:t>structure</w:t>
      </w:r>
      <w:r w:rsidR="000D4AC8" w:rsidRPr="000D4AC8">
        <w:rPr>
          <w:rFonts w:asciiTheme="majorHAnsi" w:hAnsiTheme="majorHAnsi" w:cs="Times New Roman"/>
          <w:b/>
          <w:sz w:val="28"/>
          <w:szCs w:val="28"/>
          <w:u w:val="single"/>
        </w:rPr>
        <w:t xml:space="preserve"> on its head</w:t>
      </w:r>
      <w:r w:rsidR="000D4AC8" w:rsidRPr="000D4AC8">
        <w:rPr>
          <w:rFonts w:asciiTheme="majorHAnsi" w:hAnsiTheme="majorHAnsi" w:cs="Times New Roman"/>
          <w:sz w:val="28"/>
          <w:szCs w:val="28"/>
        </w:rPr>
        <w:t xml:space="preserve">, </w:t>
      </w:r>
      <w:r w:rsidR="005F49B1">
        <w:rPr>
          <w:rFonts w:asciiTheme="majorHAnsi" w:hAnsiTheme="majorHAnsi" w:cs="Times New Roman"/>
          <w:sz w:val="28"/>
          <w:szCs w:val="28"/>
        </w:rPr>
        <w:t xml:space="preserve">to conform </w:t>
      </w:r>
      <w:r w:rsidR="000D4AC8" w:rsidRPr="000D4AC8">
        <w:rPr>
          <w:rFonts w:asciiTheme="majorHAnsi" w:hAnsiTheme="majorHAnsi" w:cs="Times New Roman"/>
          <w:sz w:val="28"/>
          <w:szCs w:val="28"/>
        </w:rPr>
        <w:t xml:space="preserve">with the reality that it is the state –by setting content standards and testing for it—that determines what  is an adequate level of education,  not the district.  It is time therefore </w:t>
      </w:r>
      <w:r w:rsidR="000D4AC8" w:rsidRPr="000D4AC8">
        <w:rPr>
          <w:rFonts w:asciiTheme="majorHAnsi" w:hAnsiTheme="majorHAnsi" w:cs="Times New Roman"/>
          <w:b/>
          <w:sz w:val="28"/>
          <w:szCs w:val="28"/>
        </w:rPr>
        <w:t xml:space="preserve">to make the district the first and limited </w:t>
      </w:r>
      <w:r w:rsidR="003314FB">
        <w:rPr>
          <w:rFonts w:asciiTheme="majorHAnsi" w:hAnsiTheme="majorHAnsi" w:cs="Times New Roman"/>
          <w:b/>
          <w:sz w:val="28"/>
          <w:szCs w:val="28"/>
        </w:rPr>
        <w:t>provider</w:t>
      </w:r>
      <w:r w:rsidR="000D4AC8" w:rsidRPr="000D4AC8">
        <w:rPr>
          <w:rFonts w:asciiTheme="majorHAnsi" w:hAnsiTheme="majorHAnsi" w:cs="Times New Roman"/>
          <w:b/>
          <w:sz w:val="28"/>
          <w:szCs w:val="28"/>
        </w:rPr>
        <w:t xml:space="preserve"> of funding, </w:t>
      </w:r>
      <w:r w:rsidR="007A6784">
        <w:rPr>
          <w:rFonts w:asciiTheme="majorHAnsi" w:hAnsiTheme="majorHAnsi" w:cs="Times New Roman"/>
          <w:b/>
          <w:sz w:val="28"/>
          <w:szCs w:val="28"/>
        </w:rPr>
        <w:t xml:space="preserve"> while</w:t>
      </w:r>
      <w:r w:rsidR="000D4AC8" w:rsidRPr="000D4AC8">
        <w:rPr>
          <w:rFonts w:asciiTheme="majorHAnsi" w:hAnsiTheme="majorHAnsi" w:cs="Times New Roman"/>
          <w:b/>
          <w:sz w:val="28"/>
          <w:szCs w:val="28"/>
        </w:rPr>
        <w:t xml:space="preserve"> </w:t>
      </w:r>
      <w:r w:rsidR="007A6784">
        <w:rPr>
          <w:rFonts w:asciiTheme="majorHAnsi" w:hAnsiTheme="majorHAnsi" w:cs="Times New Roman"/>
          <w:b/>
          <w:sz w:val="28"/>
          <w:szCs w:val="28"/>
        </w:rPr>
        <w:t xml:space="preserve">making </w:t>
      </w:r>
      <w:r w:rsidR="000D4AC8" w:rsidRPr="000D4AC8">
        <w:rPr>
          <w:rFonts w:asciiTheme="majorHAnsi" w:hAnsiTheme="majorHAnsi" w:cs="Times New Roman"/>
          <w:b/>
          <w:sz w:val="28"/>
          <w:szCs w:val="28"/>
        </w:rPr>
        <w:t xml:space="preserve"> the state the </w:t>
      </w:r>
      <w:r w:rsidR="005F49B1">
        <w:rPr>
          <w:rFonts w:asciiTheme="majorHAnsi" w:hAnsiTheme="majorHAnsi" w:cs="Times New Roman"/>
          <w:b/>
          <w:sz w:val="28"/>
          <w:szCs w:val="28"/>
        </w:rPr>
        <w:t>ultimate funder responsible</w:t>
      </w:r>
      <w:r w:rsidR="000D4AC8" w:rsidRPr="000D4AC8">
        <w:rPr>
          <w:rFonts w:asciiTheme="majorHAnsi" w:hAnsiTheme="majorHAnsi" w:cs="Times New Roman"/>
          <w:b/>
          <w:sz w:val="28"/>
          <w:szCs w:val="28"/>
        </w:rPr>
        <w:t xml:space="preserve"> for reaching  adequacy.</w:t>
      </w:r>
      <w:r w:rsidR="005600ED">
        <w:rPr>
          <w:rFonts w:asciiTheme="majorHAnsi" w:hAnsiTheme="majorHAnsi" w:cs="Times New Roman"/>
          <w:b/>
          <w:sz w:val="28"/>
          <w:szCs w:val="28"/>
        </w:rPr>
        <w:t xml:space="preserve"> </w:t>
      </w:r>
      <w:r w:rsidR="005600ED" w:rsidRPr="005600ED">
        <w:rPr>
          <w:rFonts w:asciiTheme="majorHAnsi" w:hAnsiTheme="majorHAnsi" w:cs="Times New Roman"/>
          <w:sz w:val="28"/>
          <w:szCs w:val="28"/>
        </w:rPr>
        <w:t>This</w:t>
      </w:r>
      <w:r w:rsidR="00545655" w:rsidRPr="005600ED">
        <w:rPr>
          <w:rFonts w:asciiTheme="majorHAnsi" w:hAnsiTheme="majorHAnsi" w:cs="Times New Roman"/>
          <w:sz w:val="28"/>
          <w:szCs w:val="28"/>
        </w:rPr>
        <w:t xml:space="preserve"> proposal</w:t>
      </w:r>
      <w:r w:rsidR="00545655">
        <w:rPr>
          <w:rFonts w:asciiTheme="majorHAnsi" w:hAnsiTheme="majorHAnsi" w:cs="Times New Roman"/>
          <w:sz w:val="28"/>
          <w:szCs w:val="28"/>
        </w:rPr>
        <w:t xml:space="preserve"> boils down to two basic steps: </w:t>
      </w:r>
    </w:p>
    <w:p w:rsidR="005600ED" w:rsidRDefault="00545655" w:rsidP="00A72592">
      <w:pPr>
        <w:spacing w:line="360" w:lineRule="auto"/>
        <w:ind w:firstLine="720"/>
        <w:rPr>
          <w:rFonts w:asciiTheme="majorHAnsi" w:hAnsiTheme="majorHAnsi" w:cs="Times New Roman"/>
          <w:sz w:val="28"/>
          <w:szCs w:val="28"/>
        </w:rPr>
      </w:pPr>
      <w:r>
        <w:rPr>
          <w:rFonts w:asciiTheme="majorHAnsi" w:hAnsiTheme="majorHAnsi" w:cs="Times New Roman"/>
          <w:b/>
          <w:sz w:val="28"/>
          <w:szCs w:val="28"/>
        </w:rPr>
        <w:t xml:space="preserve">First:  </w:t>
      </w:r>
      <w:r w:rsidR="000D4AC8" w:rsidRPr="00A72592">
        <w:rPr>
          <w:rFonts w:asciiTheme="majorHAnsi" w:hAnsiTheme="majorHAnsi" w:cs="Times New Roman"/>
          <w:b/>
          <w:sz w:val="28"/>
          <w:szCs w:val="28"/>
        </w:rPr>
        <w:t xml:space="preserve">A district’s foundation share would be based on its ability to pay and be capped at a uniform  statewide  tax-effort rate for purposes of </w:t>
      </w:r>
      <w:r w:rsidR="000D4AC8" w:rsidRPr="00801539">
        <w:rPr>
          <w:rFonts w:asciiTheme="majorHAnsi" w:hAnsiTheme="majorHAnsi" w:cs="Times New Roman"/>
          <w:b/>
          <w:sz w:val="28"/>
          <w:szCs w:val="28"/>
          <w:u w:val="single"/>
        </w:rPr>
        <w:t xml:space="preserve">calculating </w:t>
      </w:r>
      <w:r w:rsidR="000D4AC8" w:rsidRPr="00A72592">
        <w:rPr>
          <w:rFonts w:asciiTheme="majorHAnsi" w:hAnsiTheme="majorHAnsi" w:cs="Times New Roman"/>
          <w:b/>
          <w:sz w:val="28"/>
          <w:szCs w:val="28"/>
        </w:rPr>
        <w:t>its fair share.</w:t>
      </w:r>
      <w:r w:rsidR="000D4AC8" w:rsidRPr="000D4AC8">
        <w:rPr>
          <w:rFonts w:asciiTheme="majorHAnsi" w:hAnsiTheme="majorHAnsi" w:cs="Times New Roman"/>
          <w:sz w:val="28"/>
          <w:szCs w:val="28"/>
        </w:rPr>
        <w:t xml:space="preserve"> That means all districts would</w:t>
      </w:r>
      <w:r w:rsidR="005600ED">
        <w:rPr>
          <w:rFonts w:asciiTheme="majorHAnsi" w:hAnsiTheme="majorHAnsi" w:cs="Times New Roman"/>
          <w:sz w:val="28"/>
          <w:szCs w:val="28"/>
        </w:rPr>
        <w:t xml:space="preserve"> be treated as if they collected </w:t>
      </w:r>
      <w:r w:rsidR="000D4AC8" w:rsidRPr="000D4AC8">
        <w:rPr>
          <w:rFonts w:asciiTheme="majorHAnsi" w:hAnsiTheme="majorHAnsi" w:cs="Times New Roman"/>
          <w:sz w:val="28"/>
          <w:szCs w:val="28"/>
        </w:rPr>
        <w:t xml:space="preserve"> taxes equal to the same equalized </w:t>
      </w:r>
      <w:r w:rsidR="007A6784">
        <w:rPr>
          <w:rFonts w:asciiTheme="majorHAnsi" w:hAnsiTheme="majorHAnsi" w:cs="Times New Roman"/>
          <w:sz w:val="28"/>
          <w:szCs w:val="28"/>
        </w:rPr>
        <w:t xml:space="preserve">millage </w:t>
      </w:r>
      <w:r w:rsidR="000D4AC8" w:rsidRPr="000D4AC8">
        <w:rPr>
          <w:rFonts w:asciiTheme="majorHAnsi" w:hAnsiTheme="majorHAnsi" w:cs="Times New Roman"/>
          <w:sz w:val="28"/>
          <w:szCs w:val="28"/>
        </w:rPr>
        <w:t>rate</w:t>
      </w:r>
      <w:r w:rsidR="005600ED" w:rsidRPr="005600ED">
        <w:rPr>
          <w:rFonts w:asciiTheme="majorHAnsi" w:hAnsiTheme="majorHAnsi" w:cs="Times New Roman"/>
          <w:sz w:val="28"/>
          <w:szCs w:val="28"/>
        </w:rPr>
        <w:t xml:space="preserve"> </w:t>
      </w:r>
      <w:r w:rsidR="005600ED">
        <w:rPr>
          <w:rFonts w:asciiTheme="majorHAnsi" w:hAnsiTheme="majorHAnsi" w:cs="Times New Roman"/>
          <w:sz w:val="28"/>
          <w:szCs w:val="28"/>
        </w:rPr>
        <w:t xml:space="preserve"> or equal to </w:t>
      </w:r>
      <w:r w:rsidR="005600ED" w:rsidRPr="000D4AC8">
        <w:rPr>
          <w:rFonts w:asciiTheme="majorHAnsi" w:hAnsiTheme="majorHAnsi" w:cs="Times New Roman"/>
          <w:sz w:val="28"/>
          <w:szCs w:val="28"/>
        </w:rPr>
        <w:t>the  same percentage of personal income</w:t>
      </w:r>
      <w:r w:rsidR="005600ED">
        <w:rPr>
          <w:rFonts w:asciiTheme="majorHAnsi" w:hAnsiTheme="majorHAnsi" w:cs="Times New Roman"/>
          <w:sz w:val="28"/>
          <w:szCs w:val="28"/>
        </w:rPr>
        <w:t xml:space="preserve">. </w:t>
      </w:r>
      <w:r w:rsidR="00A51CB5">
        <w:rPr>
          <w:rStyle w:val="FootnoteReference"/>
          <w:rFonts w:asciiTheme="majorHAnsi" w:hAnsiTheme="majorHAnsi" w:cs="Times New Roman"/>
          <w:sz w:val="28"/>
          <w:szCs w:val="28"/>
        </w:rPr>
        <w:footnoteReference w:id="1"/>
      </w:r>
      <w:r w:rsidR="000D4AC8" w:rsidRPr="000D4AC8">
        <w:rPr>
          <w:rFonts w:asciiTheme="majorHAnsi" w:hAnsiTheme="majorHAnsi" w:cs="Times New Roman"/>
          <w:sz w:val="28"/>
          <w:szCs w:val="28"/>
        </w:rPr>
        <w:t xml:space="preserve"> </w:t>
      </w:r>
      <w:r w:rsidR="00801539">
        <w:rPr>
          <w:rFonts w:asciiTheme="majorHAnsi" w:hAnsiTheme="majorHAnsi" w:cs="Times New Roman"/>
          <w:sz w:val="28"/>
          <w:szCs w:val="28"/>
        </w:rPr>
        <w:t xml:space="preserve"> This does not mean equal dollars. </w:t>
      </w:r>
      <w:r w:rsidR="005600ED">
        <w:rPr>
          <w:rFonts w:asciiTheme="majorHAnsi" w:hAnsiTheme="majorHAnsi" w:cs="Times New Roman"/>
          <w:sz w:val="28"/>
          <w:szCs w:val="28"/>
        </w:rPr>
        <w:t xml:space="preserve"> It means you would set a rate like 20 equalized mills, which is the 75</w:t>
      </w:r>
      <w:r w:rsidR="005600ED" w:rsidRPr="005600ED">
        <w:rPr>
          <w:rFonts w:asciiTheme="majorHAnsi" w:hAnsiTheme="majorHAnsi" w:cs="Times New Roman"/>
          <w:sz w:val="28"/>
          <w:szCs w:val="28"/>
          <w:vertAlign w:val="superscript"/>
        </w:rPr>
        <w:t>th</w:t>
      </w:r>
      <w:r w:rsidR="005600ED">
        <w:rPr>
          <w:rFonts w:asciiTheme="majorHAnsi" w:hAnsiTheme="majorHAnsi" w:cs="Times New Roman"/>
          <w:sz w:val="28"/>
          <w:szCs w:val="28"/>
        </w:rPr>
        <w:t xml:space="preserve"> percentile of current tax effort, or 17.8 equalized mills which is the 50</w:t>
      </w:r>
      <w:r w:rsidR="005600ED" w:rsidRPr="005600ED">
        <w:rPr>
          <w:rFonts w:asciiTheme="majorHAnsi" w:hAnsiTheme="majorHAnsi" w:cs="Times New Roman"/>
          <w:sz w:val="28"/>
          <w:szCs w:val="28"/>
          <w:vertAlign w:val="superscript"/>
        </w:rPr>
        <w:t>th</w:t>
      </w:r>
      <w:r w:rsidR="005600ED">
        <w:rPr>
          <w:rFonts w:asciiTheme="majorHAnsi" w:hAnsiTheme="majorHAnsi" w:cs="Times New Roman"/>
          <w:sz w:val="28"/>
          <w:szCs w:val="28"/>
        </w:rPr>
        <w:t xml:space="preserve"> percentile.</w:t>
      </w:r>
    </w:p>
    <w:p w:rsidR="000D4AC8" w:rsidRPr="000D4AC8" w:rsidRDefault="005600ED" w:rsidP="005600ED">
      <w:pPr>
        <w:spacing w:line="360" w:lineRule="auto"/>
        <w:ind w:firstLine="720"/>
        <w:rPr>
          <w:rFonts w:asciiTheme="majorHAnsi" w:hAnsiTheme="majorHAnsi" w:cs="Times New Roman"/>
          <w:sz w:val="28"/>
          <w:szCs w:val="28"/>
        </w:rPr>
      </w:pPr>
      <w:r>
        <w:rPr>
          <w:rFonts w:asciiTheme="majorHAnsi" w:hAnsiTheme="majorHAnsi" w:cs="Times New Roman"/>
          <w:sz w:val="28"/>
          <w:szCs w:val="28"/>
        </w:rPr>
        <w:t>De</w:t>
      </w:r>
      <w:r w:rsidR="000D4AC8" w:rsidRPr="000D4AC8">
        <w:rPr>
          <w:rFonts w:asciiTheme="majorHAnsi" w:hAnsiTheme="majorHAnsi" w:cs="Times New Roman"/>
          <w:sz w:val="28"/>
          <w:szCs w:val="28"/>
        </w:rPr>
        <w:t xml:space="preserve">pending on where this tax effort cap is set, many high taxed districts will see significant local tax reductions.  This should be seen as part of a </w:t>
      </w:r>
      <w:r w:rsidR="007A6784">
        <w:rPr>
          <w:rFonts w:asciiTheme="majorHAnsi" w:hAnsiTheme="majorHAnsi" w:cs="Times New Roman"/>
          <w:sz w:val="28"/>
          <w:szCs w:val="28"/>
        </w:rPr>
        <w:t xml:space="preserve"> one-time </w:t>
      </w:r>
      <w:r w:rsidR="000D4AC8" w:rsidRPr="000D4AC8">
        <w:rPr>
          <w:rFonts w:asciiTheme="majorHAnsi" w:hAnsiTheme="majorHAnsi" w:cs="Times New Roman"/>
          <w:sz w:val="28"/>
          <w:szCs w:val="28"/>
        </w:rPr>
        <w:t xml:space="preserve">effort to reduce Pennsylvania’s unusually high dependence on local revenues raised from property taxes and replace them (partially) with state raised revenue. </w:t>
      </w:r>
      <w:r w:rsidR="00A72592">
        <w:rPr>
          <w:rFonts w:asciiTheme="majorHAnsi" w:hAnsiTheme="majorHAnsi" w:cs="Times New Roman"/>
          <w:sz w:val="28"/>
          <w:szCs w:val="28"/>
        </w:rPr>
        <w:t xml:space="preserve"> This would give propert</w:t>
      </w:r>
      <w:r w:rsidR="005B0C4E">
        <w:rPr>
          <w:rFonts w:asciiTheme="majorHAnsi" w:hAnsiTheme="majorHAnsi" w:cs="Times New Roman"/>
          <w:sz w:val="28"/>
          <w:szCs w:val="28"/>
        </w:rPr>
        <w:t xml:space="preserve">y tax relief where it is needed and </w:t>
      </w:r>
      <w:r w:rsidR="005B0C4E">
        <w:rPr>
          <w:rFonts w:asciiTheme="majorHAnsi" w:hAnsiTheme="majorHAnsi" w:cs="Times New Roman"/>
          <w:sz w:val="28"/>
          <w:szCs w:val="28"/>
        </w:rPr>
        <w:lastRenderedPageBreak/>
        <w:t xml:space="preserve">would protect other districts from future increases, </w:t>
      </w:r>
      <w:r w:rsidR="00A72592">
        <w:rPr>
          <w:rFonts w:asciiTheme="majorHAnsi" w:hAnsiTheme="majorHAnsi" w:cs="Times New Roman"/>
          <w:sz w:val="28"/>
          <w:szCs w:val="28"/>
        </w:rPr>
        <w:t xml:space="preserve"> but would not cripple districts by completely eliminating the tax.</w:t>
      </w:r>
      <w:r w:rsidR="00C7799D">
        <w:rPr>
          <w:rFonts w:asciiTheme="majorHAnsi" w:hAnsiTheme="majorHAnsi" w:cs="Times New Roman"/>
          <w:sz w:val="28"/>
          <w:szCs w:val="28"/>
        </w:rPr>
        <w:t xml:space="preserve">  Taxpayers who do not get any relief would know it is because they are already paying less than others.</w:t>
      </w:r>
    </w:p>
    <w:p w:rsidR="000D4AC8" w:rsidRPr="000D4AC8" w:rsidRDefault="00545655" w:rsidP="00A72592">
      <w:pPr>
        <w:spacing w:line="360" w:lineRule="auto"/>
        <w:ind w:firstLine="720"/>
        <w:rPr>
          <w:rFonts w:asciiTheme="majorHAnsi" w:hAnsiTheme="majorHAnsi" w:cs="Times New Roman"/>
          <w:sz w:val="28"/>
          <w:szCs w:val="28"/>
        </w:rPr>
      </w:pPr>
      <w:r>
        <w:rPr>
          <w:rFonts w:asciiTheme="majorHAnsi" w:hAnsiTheme="majorHAnsi" w:cs="Times New Roman"/>
          <w:sz w:val="28"/>
          <w:szCs w:val="28"/>
        </w:rPr>
        <w:t>For example, if local tax effort were capped at the</w:t>
      </w:r>
      <w:r w:rsidR="00D503F9">
        <w:rPr>
          <w:rFonts w:asciiTheme="majorHAnsi" w:hAnsiTheme="majorHAnsi" w:cs="Times New Roman"/>
          <w:sz w:val="28"/>
          <w:szCs w:val="28"/>
        </w:rPr>
        <w:t xml:space="preserve"> 75</w:t>
      </w:r>
      <w:r w:rsidR="00D503F9" w:rsidRPr="00D503F9">
        <w:rPr>
          <w:rFonts w:asciiTheme="majorHAnsi" w:hAnsiTheme="majorHAnsi" w:cs="Times New Roman"/>
          <w:sz w:val="28"/>
          <w:szCs w:val="28"/>
          <w:vertAlign w:val="superscript"/>
        </w:rPr>
        <w:t>th</w:t>
      </w:r>
      <w:r w:rsidR="00D503F9">
        <w:rPr>
          <w:rFonts w:asciiTheme="majorHAnsi" w:hAnsiTheme="majorHAnsi" w:cs="Times New Roman"/>
          <w:sz w:val="28"/>
          <w:szCs w:val="28"/>
        </w:rPr>
        <w:t xml:space="preserve"> percentile</w:t>
      </w:r>
      <w:r w:rsidR="005600ED">
        <w:rPr>
          <w:rFonts w:asciiTheme="majorHAnsi" w:hAnsiTheme="majorHAnsi" w:cs="Times New Roman"/>
          <w:sz w:val="28"/>
          <w:szCs w:val="28"/>
        </w:rPr>
        <w:t xml:space="preserve"> of tax effort </w:t>
      </w:r>
      <w:r w:rsidR="00D503F9">
        <w:rPr>
          <w:rFonts w:asciiTheme="majorHAnsi" w:hAnsiTheme="majorHAnsi" w:cs="Times New Roman"/>
          <w:sz w:val="28"/>
          <w:szCs w:val="28"/>
        </w:rPr>
        <w:t xml:space="preserve"> (20.0 mills)</w:t>
      </w:r>
      <w:r w:rsidR="005600ED">
        <w:rPr>
          <w:rFonts w:asciiTheme="majorHAnsi" w:hAnsiTheme="majorHAnsi" w:cs="Times New Roman"/>
          <w:sz w:val="28"/>
          <w:szCs w:val="28"/>
        </w:rPr>
        <w:t>,</w:t>
      </w:r>
      <w:r w:rsidR="00D503F9">
        <w:rPr>
          <w:rFonts w:asciiTheme="majorHAnsi" w:hAnsiTheme="majorHAnsi" w:cs="Times New Roman"/>
          <w:sz w:val="28"/>
          <w:szCs w:val="28"/>
        </w:rPr>
        <w:t xml:space="preserve"> taxpayers in 150 districts would experie</w:t>
      </w:r>
      <w:r w:rsidR="005600ED">
        <w:rPr>
          <w:rFonts w:asciiTheme="majorHAnsi" w:hAnsiTheme="majorHAnsi" w:cs="Times New Roman"/>
          <w:sz w:val="28"/>
          <w:szCs w:val="28"/>
        </w:rPr>
        <w:t>nce reductions totaling $800 million</w:t>
      </w:r>
      <w:r w:rsidR="000D4AC8" w:rsidRPr="000D4AC8">
        <w:rPr>
          <w:rFonts w:asciiTheme="majorHAnsi" w:hAnsiTheme="majorHAnsi" w:cs="Times New Roman"/>
          <w:sz w:val="28"/>
          <w:szCs w:val="28"/>
        </w:rPr>
        <w:t xml:space="preserve">. </w:t>
      </w:r>
      <w:r w:rsidR="00A51CB5">
        <w:rPr>
          <w:rFonts w:asciiTheme="majorHAnsi" w:hAnsiTheme="majorHAnsi" w:cs="Times New Roman"/>
          <w:sz w:val="28"/>
          <w:szCs w:val="28"/>
        </w:rPr>
        <w:t xml:space="preserve"> </w:t>
      </w:r>
      <w:r w:rsidR="005B0C4E">
        <w:rPr>
          <w:rFonts w:asciiTheme="majorHAnsi" w:hAnsiTheme="majorHAnsi" w:cs="Times New Roman"/>
          <w:sz w:val="28"/>
          <w:szCs w:val="28"/>
        </w:rPr>
        <w:t>This replacement process can be phased in over time</w:t>
      </w:r>
      <w:r w:rsidR="003314FB">
        <w:rPr>
          <w:rFonts w:asciiTheme="majorHAnsi" w:hAnsiTheme="majorHAnsi" w:cs="Times New Roman"/>
          <w:sz w:val="28"/>
          <w:szCs w:val="28"/>
        </w:rPr>
        <w:t xml:space="preserve"> while state  contributions are also increasing to provide underfunded districts with additional amounts to bring them to an adequacy level</w:t>
      </w:r>
      <w:r w:rsidR="005B0C4E">
        <w:rPr>
          <w:rFonts w:asciiTheme="majorHAnsi" w:hAnsiTheme="majorHAnsi" w:cs="Times New Roman"/>
          <w:sz w:val="28"/>
          <w:szCs w:val="28"/>
        </w:rPr>
        <w:t xml:space="preserve">. </w:t>
      </w:r>
    </w:p>
    <w:p w:rsidR="00D8643D" w:rsidRDefault="00A51CB5" w:rsidP="005B0C4E">
      <w:pPr>
        <w:spacing w:line="360" w:lineRule="auto"/>
        <w:ind w:firstLine="720"/>
        <w:rPr>
          <w:rFonts w:asciiTheme="majorHAnsi" w:hAnsiTheme="majorHAnsi" w:cs="Times New Roman"/>
          <w:sz w:val="28"/>
          <w:szCs w:val="28"/>
        </w:rPr>
      </w:pPr>
      <w:r>
        <w:rPr>
          <w:rFonts w:asciiTheme="majorHAnsi" w:hAnsiTheme="majorHAnsi" w:cs="Times New Roman"/>
          <w:b/>
          <w:sz w:val="28"/>
          <w:szCs w:val="28"/>
        </w:rPr>
        <w:t xml:space="preserve">Second: </w:t>
      </w:r>
      <w:r w:rsidR="000D4AC8" w:rsidRPr="000D4AC8">
        <w:rPr>
          <w:rFonts w:asciiTheme="majorHAnsi" w:hAnsiTheme="majorHAnsi" w:cs="Times New Roman"/>
          <w:b/>
          <w:sz w:val="28"/>
          <w:szCs w:val="28"/>
        </w:rPr>
        <w:t>Once the</w:t>
      </w:r>
      <w:r w:rsidR="006F7C4E">
        <w:rPr>
          <w:rFonts w:asciiTheme="majorHAnsi" w:hAnsiTheme="majorHAnsi" w:cs="Times New Roman"/>
          <w:b/>
          <w:sz w:val="28"/>
          <w:szCs w:val="28"/>
        </w:rPr>
        <w:t>Expected</w:t>
      </w:r>
      <w:r w:rsidR="000D4AC8" w:rsidRPr="000D4AC8">
        <w:rPr>
          <w:rFonts w:asciiTheme="majorHAnsi" w:hAnsiTheme="majorHAnsi" w:cs="Times New Roman"/>
          <w:b/>
          <w:sz w:val="28"/>
          <w:szCs w:val="28"/>
        </w:rPr>
        <w:t xml:space="preserve"> Local Contribution is established as the first level, the state shall be responsible for paying the balance necessary to </w:t>
      </w:r>
      <w:r w:rsidR="00C7799D">
        <w:rPr>
          <w:rFonts w:asciiTheme="majorHAnsi" w:hAnsiTheme="majorHAnsi" w:cs="Times New Roman"/>
          <w:b/>
          <w:sz w:val="28"/>
          <w:szCs w:val="28"/>
        </w:rPr>
        <w:t xml:space="preserve">fund the cost of meeting Pennsylvania’s  education standards: </w:t>
      </w:r>
      <w:r w:rsidR="000D4AC8" w:rsidRPr="000D4AC8">
        <w:rPr>
          <w:rFonts w:asciiTheme="majorHAnsi" w:hAnsiTheme="majorHAnsi" w:cs="Times New Roman"/>
          <w:b/>
          <w:sz w:val="28"/>
          <w:szCs w:val="28"/>
        </w:rPr>
        <w:t>Adequacy</w:t>
      </w:r>
      <w:r w:rsidR="00287E91">
        <w:rPr>
          <w:rFonts w:asciiTheme="majorHAnsi" w:hAnsiTheme="majorHAnsi" w:cs="Times New Roman"/>
          <w:b/>
          <w:sz w:val="28"/>
          <w:szCs w:val="28"/>
        </w:rPr>
        <w:t>.</w:t>
      </w:r>
      <w:r w:rsidR="000D4AC8" w:rsidRPr="000D4AC8">
        <w:rPr>
          <w:rFonts w:asciiTheme="majorHAnsi" w:hAnsiTheme="majorHAnsi" w:cs="Times New Roman"/>
          <w:sz w:val="28"/>
          <w:szCs w:val="28"/>
        </w:rPr>
        <w:t xml:space="preserve"> </w:t>
      </w:r>
      <w:r w:rsidR="00C7799D" w:rsidRPr="003962B7">
        <w:rPr>
          <w:rFonts w:asciiTheme="majorHAnsi" w:hAnsiTheme="majorHAnsi" w:cs="Times New Roman"/>
          <w:b/>
          <w:sz w:val="28"/>
          <w:szCs w:val="28"/>
        </w:rPr>
        <w:t xml:space="preserve">The state share calculation would be Adequacy minus the </w:t>
      </w:r>
      <w:r w:rsidR="006F7C4E">
        <w:rPr>
          <w:rFonts w:asciiTheme="majorHAnsi" w:hAnsiTheme="majorHAnsi" w:cs="Times New Roman"/>
          <w:b/>
          <w:sz w:val="28"/>
          <w:szCs w:val="28"/>
        </w:rPr>
        <w:t xml:space="preserve">Expected </w:t>
      </w:r>
      <w:r w:rsidR="00C7799D" w:rsidRPr="003962B7">
        <w:rPr>
          <w:rFonts w:asciiTheme="majorHAnsi" w:hAnsiTheme="majorHAnsi" w:cs="Times New Roman"/>
          <w:b/>
          <w:sz w:val="28"/>
          <w:szCs w:val="28"/>
        </w:rPr>
        <w:t>Local Contribution</w:t>
      </w:r>
      <w:r w:rsidR="00C7799D">
        <w:rPr>
          <w:rFonts w:asciiTheme="majorHAnsi" w:hAnsiTheme="majorHAnsi" w:cs="Times New Roman"/>
          <w:b/>
          <w:sz w:val="28"/>
          <w:szCs w:val="28"/>
        </w:rPr>
        <w:t>.</w:t>
      </w:r>
      <w:r w:rsidR="00287E91">
        <w:rPr>
          <w:rFonts w:asciiTheme="majorHAnsi" w:hAnsiTheme="majorHAnsi" w:cs="Times New Roman"/>
          <w:sz w:val="28"/>
          <w:szCs w:val="28"/>
        </w:rPr>
        <w:t xml:space="preserve"> </w:t>
      </w:r>
      <w:r w:rsidR="00C7799D">
        <w:rPr>
          <w:rFonts w:asciiTheme="majorHAnsi" w:hAnsiTheme="majorHAnsi" w:cs="Times New Roman"/>
          <w:sz w:val="28"/>
          <w:szCs w:val="28"/>
        </w:rPr>
        <w:t xml:space="preserve"> </w:t>
      </w:r>
      <w:r w:rsidR="003F618B">
        <w:rPr>
          <w:rFonts w:asciiTheme="majorHAnsi" w:hAnsiTheme="majorHAnsi" w:cs="Times New Roman"/>
          <w:sz w:val="28"/>
          <w:szCs w:val="28"/>
        </w:rPr>
        <w:t xml:space="preserve">As noted above, </w:t>
      </w:r>
      <w:r w:rsidR="000D4AC8" w:rsidRPr="000D4AC8">
        <w:rPr>
          <w:rFonts w:asciiTheme="majorHAnsi" w:hAnsiTheme="majorHAnsi" w:cs="Times New Roman"/>
          <w:sz w:val="28"/>
          <w:szCs w:val="28"/>
        </w:rPr>
        <w:t xml:space="preserve"> </w:t>
      </w:r>
      <w:r w:rsidR="000D4AC8" w:rsidRPr="00287E91">
        <w:rPr>
          <w:rFonts w:asciiTheme="majorHAnsi" w:hAnsiTheme="majorHAnsi" w:cs="Times New Roman"/>
          <w:sz w:val="28"/>
          <w:szCs w:val="28"/>
        </w:rPr>
        <w:t xml:space="preserve">Adequacy </w:t>
      </w:r>
      <w:r w:rsidR="00C7799D">
        <w:rPr>
          <w:rFonts w:asciiTheme="majorHAnsi" w:hAnsiTheme="majorHAnsi" w:cs="Times New Roman"/>
          <w:sz w:val="28"/>
          <w:szCs w:val="28"/>
        </w:rPr>
        <w:t>would</w:t>
      </w:r>
      <w:r w:rsidR="000D4AC8" w:rsidRPr="00287E91">
        <w:rPr>
          <w:rFonts w:asciiTheme="majorHAnsi" w:hAnsiTheme="majorHAnsi" w:cs="Times New Roman"/>
          <w:sz w:val="28"/>
          <w:szCs w:val="28"/>
        </w:rPr>
        <w:t xml:space="preserve"> be determined by a  process independent of yearly revenue projections, based on realistic costs to meet state standards.</w:t>
      </w:r>
      <w:r w:rsidR="00C7799D">
        <w:rPr>
          <w:rFonts w:asciiTheme="majorHAnsi" w:hAnsiTheme="majorHAnsi" w:cs="Times New Roman"/>
          <w:sz w:val="28"/>
          <w:szCs w:val="28"/>
        </w:rPr>
        <w:t xml:space="preserve">   The actual </w:t>
      </w:r>
      <w:r w:rsidR="000D4AC8" w:rsidRPr="000D4AC8">
        <w:rPr>
          <w:rFonts w:asciiTheme="majorHAnsi" w:hAnsiTheme="majorHAnsi" w:cs="Times New Roman"/>
          <w:sz w:val="28"/>
          <w:szCs w:val="28"/>
        </w:rPr>
        <w:t>calculation</w:t>
      </w:r>
      <w:r w:rsidR="00C7799D">
        <w:rPr>
          <w:rFonts w:asciiTheme="majorHAnsi" w:hAnsiTheme="majorHAnsi" w:cs="Times New Roman"/>
          <w:sz w:val="28"/>
          <w:szCs w:val="28"/>
        </w:rPr>
        <w:t xml:space="preserve"> to determine Adequacy</w:t>
      </w:r>
      <w:r w:rsidR="000D4AC8" w:rsidRPr="000D4AC8">
        <w:rPr>
          <w:rFonts w:asciiTheme="majorHAnsi" w:hAnsiTheme="majorHAnsi" w:cs="Times New Roman"/>
          <w:sz w:val="28"/>
          <w:szCs w:val="28"/>
        </w:rPr>
        <w:t xml:space="preserve"> and the factors  in the calculation </w:t>
      </w:r>
      <w:r w:rsidR="00095D1D">
        <w:rPr>
          <w:rFonts w:asciiTheme="majorHAnsi" w:hAnsiTheme="majorHAnsi" w:cs="Times New Roman"/>
          <w:sz w:val="28"/>
          <w:szCs w:val="28"/>
        </w:rPr>
        <w:t>are</w:t>
      </w:r>
      <w:r w:rsidR="000D4AC8" w:rsidRPr="000D4AC8">
        <w:rPr>
          <w:rFonts w:asciiTheme="majorHAnsi" w:hAnsiTheme="majorHAnsi" w:cs="Times New Roman"/>
          <w:sz w:val="28"/>
          <w:szCs w:val="28"/>
        </w:rPr>
        <w:t xml:space="preserve"> matter</w:t>
      </w:r>
      <w:r w:rsidR="00095D1D">
        <w:rPr>
          <w:rFonts w:asciiTheme="majorHAnsi" w:hAnsiTheme="majorHAnsi" w:cs="Times New Roman"/>
          <w:sz w:val="28"/>
          <w:szCs w:val="28"/>
        </w:rPr>
        <w:t>s</w:t>
      </w:r>
      <w:r w:rsidR="00BA3BE0">
        <w:rPr>
          <w:rFonts w:asciiTheme="majorHAnsi" w:hAnsiTheme="majorHAnsi" w:cs="Times New Roman"/>
          <w:sz w:val="28"/>
          <w:szCs w:val="28"/>
        </w:rPr>
        <w:t xml:space="preserve"> </w:t>
      </w:r>
      <w:r w:rsidR="000D4AC8" w:rsidRPr="000D4AC8">
        <w:rPr>
          <w:rFonts w:asciiTheme="majorHAnsi" w:hAnsiTheme="majorHAnsi" w:cs="Times New Roman"/>
          <w:sz w:val="28"/>
          <w:szCs w:val="28"/>
        </w:rPr>
        <w:t xml:space="preserve">for the Commission to determine or  for it to create a process  for that determination.   </w:t>
      </w:r>
    </w:p>
    <w:p w:rsidR="00D503F9" w:rsidRDefault="00D503F9" w:rsidP="00D503F9">
      <w:pPr>
        <w:spacing w:line="360" w:lineRule="auto"/>
        <w:ind w:firstLine="720"/>
        <w:rPr>
          <w:rFonts w:asciiTheme="majorHAnsi" w:hAnsiTheme="majorHAnsi" w:cs="Times New Roman"/>
          <w:sz w:val="28"/>
          <w:szCs w:val="28"/>
        </w:rPr>
      </w:pPr>
      <w:r>
        <w:rPr>
          <w:rFonts w:asciiTheme="majorHAnsi" w:hAnsiTheme="majorHAnsi" w:cs="Times New Roman"/>
          <w:sz w:val="28"/>
          <w:szCs w:val="28"/>
        </w:rPr>
        <w:t xml:space="preserve">So if Perkiomen’s’s adequacy target were $15,000 (about what it is spending now) and the cap was 20  mills,  it would  raise $10,500 locally with a tax of that rate and would receive $4,500 of state money per student ($15,000 less its local share of $10,500) instead of the $2,800 it currently receives.   If Reading’s adequacy target was that same $15,000, it would receive $13,100 per student ($15,000 less $1,900 in local share) which is $4,300 more than currently. </w:t>
      </w:r>
    </w:p>
    <w:p w:rsidR="001F7329" w:rsidRDefault="00905EB5" w:rsidP="005B0C4E">
      <w:pPr>
        <w:spacing w:line="360" w:lineRule="auto"/>
        <w:ind w:firstLine="720"/>
        <w:rPr>
          <w:rFonts w:asciiTheme="majorHAnsi" w:hAnsiTheme="majorHAnsi" w:cs="Times New Roman"/>
          <w:sz w:val="28"/>
          <w:szCs w:val="28"/>
        </w:rPr>
      </w:pPr>
      <w:r>
        <w:rPr>
          <w:rFonts w:asciiTheme="majorHAnsi" w:hAnsiTheme="majorHAnsi" w:cs="Times New Roman"/>
          <w:sz w:val="28"/>
          <w:szCs w:val="28"/>
        </w:rPr>
        <w:lastRenderedPageBreak/>
        <w:t>This</w:t>
      </w:r>
      <w:r w:rsidR="00D8643D">
        <w:rPr>
          <w:rFonts w:asciiTheme="majorHAnsi" w:hAnsiTheme="majorHAnsi" w:cs="Times New Roman"/>
          <w:sz w:val="28"/>
          <w:szCs w:val="28"/>
        </w:rPr>
        <w:t xml:space="preserve"> two-step proposal </w:t>
      </w:r>
      <w:r w:rsidR="000D4AC8" w:rsidRPr="000D4AC8">
        <w:rPr>
          <w:rFonts w:asciiTheme="majorHAnsi" w:hAnsiTheme="majorHAnsi" w:cs="Times New Roman"/>
          <w:sz w:val="28"/>
          <w:szCs w:val="28"/>
        </w:rPr>
        <w:t xml:space="preserve"> is different from the </w:t>
      </w:r>
      <w:r w:rsidR="00D8643D">
        <w:rPr>
          <w:rFonts w:asciiTheme="majorHAnsi" w:hAnsiTheme="majorHAnsi" w:cs="Times New Roman"/>
          <w:sz w:val="28"/>
          <w:szCs w:val="28"/>
        </w:rPr>
        <w:t xml:space="preserve"> </w:t>
      </w:r>
      <w:r w:rsidR="000D4AC8" w:rsidRPr="000D4AC8">
        <w:rPr>
          <w:rFonts w:asciiTheme="majorHAnsi" w:hAnsiTheme="majorHAnsi" w:cs="Times New Roman"/>
          <w:sz w:val="28"/>
          <w:szCs w:val="28"/>
        </w:rPr>
        <w:t>calculation</w:t>
      </w:r>
      <w:r w:rsidR="00D8643D">
        <w:rPr>
          <w:rFonts w:asciiTheme="majorHAnsi" w:hAnsiTheme="majorHAnsi" w:cs="Times New Roman"/>
          <w:sz w:val="28"/>
          <w:szCs w:val="28"/>
        </w:rPr>
        <w:t xml:space="preserve"> used in Pennsylvania from 2008-2011 </w:t>
      </w:r>
      <w:r w:rsidR="000D4AC8" w:rsidRPr="000D4AC8">
        <w:rPr>
          <w:rFonts w:asciiTheme="majorHAnsi" w:hAnsiTheme="majorHAnsi" w:cs="Times New Roman"/>
          <w:sz w:val="28"/>
          <w:szCs w:val="28"/>
        </w:rPr>
        <w:t xml:space="preserve"> which was (Adequacy minus Current Spending)  times Aid Ratio</w:t>
      </w:r>
      <w:r w:rsidR="00D8643D">
        <w:rPr>
          <w:rFonts w:asciiTheme="majorHAnsi" w:hAnsiTheme="majorHAnsi" w:cs="Times New Roman"/>
          <w:sz w:val="28"/>
          <w:szCs w:val="28"/>
        </w:rPr>
        <w:t>.  That formulation left the vastly differing local</w:t>
      </w:r>
      <w:r w:rsidR="001F7329">
        <w:rPr>
          <w:rFonts w:asciiTheme="majorHAnsi" w:hAnsiTheme="majorHAnsi" w:cs="Times New Roman"/>
          <w:sz w:val="28"/>
          <w:szCs w:val="28"/>
        </w:rPr>
        <w:t xml:space="preserve"> tax burdens  locked in</w:t>
      </w:r>
      <w:r>
        <w:rPr>
          <w:rFonts w:asciiTheme="majorHAnsi" w:hAnsiTheme="majorHAnsi" w:cs="Times New Roman"/>
          <w:sz w:val="28"/>
          <w:szCs w:val="28"/>
        </w:rPr>
        <w:t xml:space="preserve"> place</w:t>
      </w:r>
      <w:r w:rsidR="00BC29EF">
        <w:rPr>
          <w:rFonts w:asciiTheme="majorHAnsi" w:hAnsiTheme="majorHAnsi" w:cs="Times New Roman"/>
          <w:sz w:val="28"/>
          <w:szCs w:val="28"/>
        </w:rPr>
        <w:t xml:space="preserve">. </w:t>
      </w:r>
      <w:r w:rsidR="000D4AC8" w:rsidRPr="000D4AC8">
        <w:rPr>
          <w:rFonts w:asciiTheme="majorHAnsi" w:hAnsiTheme="majorHAnsi" w:cs="Times New Roman"/>
          <w:sz w:val="28"/>
          <w:szCs w:val="28"/>
        </w:rPr>
        <w:t xml:space="preserve">  </w:t>
      </w:r>
      <w:r w:rsidR="00B12B65">
        <w:rPr>
          <w:rFonts w:asciiTheme="majorHAnsi" w:hAnsiTheme="majorHAnsi" w:cs="Times New Roman"/>
          <w:sz w:val="28"/>
          <w:szCs w:val="28"/>
        </w:rPr>
        <w:t xml:space="preserve"> </w:t>
      </w:r>
    </w:p>
    <w:p w:rsidR="000D4AC8" w:rsidRPr="000D4AC8" w:rsidRDefault="000D4AC8" w:rsidP="005B0C4E">
      <w:pPr>
        <w:spacing w:line="360" w:lineRule="auto"/>
        <w:ind w:firstLine="720"/>
        <w:rPr>
          <w:rFonts w:asciiTheme="majorHAnsi" w:hAnsiTheme="majorHAnsi" w:cs="Times New Roman"/>
          <w:sz w:val="28"/>
          <w:szCs w:val="28"/>
        </w:rPr>
      </w:pPr>
      <w:r w:rsidRPr="000D4AC8">
        <w:rPr>
          <w:rFonts w:asciiTheme="majorHAnsi" w:hAnsiTheme="majorHAnsi" w:cs="Times New Roman"/>
          <w:sz w:val="28"/>
          <w:szCs w:val="28"/>
        </w:rPr>
        <w:t xml:space="preserve">Needless to say,  the </w:t>
      </w:r>
      <w:r w:rsidR="003962B7">
        <w:rPr>
          <w:rFonts w:asciiTheme="majorHAnsi" w:hAnsiTheme="majorHAnsi" w:cs="Times New Roman"/>
          <w:sz w:val="28"/>
          <w:szCs w:val="28"/>
        </w:rPr>
        <w:t xml:space="preserve">new structure and </w:t>
      </w:r>
      <w:r w:rsidRPr="000D4AC8">
        <w:rPr>
          <w:rFonts w:asciiTheme="majorHAnsi" w:hAnsiTheme="majorHAnsi" w:cs="Times New Roman"/>
          <w:sz w:val="28"/>
          <w:szCs w:val="28"/>
        </w:rPr>
        <w:t xml:space="preserve">formula can not bind future legislatures, but it does provide a very public measuring device </w:t>
      </w:r>
      <w:r w:rsidR="006A1A21">
        <w:rPr>
          <w:rFonts w:asciiTheme="majorHAnsi" w:hAnsiTheme="majorHAnsi" w:cs="Times New Roman"/>
          <w:sz w:val="28"/>
          <w:szCs w:val="28"/>
        </w:rPr>
        <w:t xml:space="preserve">as </w:t>
      </w:r>
      <w:r w:rsidRPr="000D4AC8">
        <w:rPr>
          <w:rFonts w:asciiTheme="majorHAnsi" w:hAnsiTheme="majorHAnsi" w:cs="Times New Roman"/>
          <w:sz w:val="28"/>
          <w:szCs w:val="28"/>
        </w:rPr>
        <w:t xml:space="preserve"> to whether</w:t>
      </w:r>
      <w:r w:rsidR="00287E91">
        <w:rPr>
          <w:rFonts w:asciiTheme="majorHAnsi" w:hAnsiTheme="majorHAnsi" w:cs="Times New Roman"/>
          <w:sz w:val="28"/>
          <w:szCs w:val="28"/>
        </w:rPr>
        <w:t xml:space="preserve"> the constitutional obligation to maintain a thorough and efficient system of public education is being  met</w:t>
      </w:r>
      <w:r w:rsidRPr="000D4AC8">
        <w:rPr>
          <w:rFonts w:asciiTheme="majorHAnsi" w:hAnsiTheme="majorHAnsi" w:cs="Times New Roman"/>
          <w:sz w:val="28"/>
          <w:szCs w:val="28"/>
        </w:rPr>
        <w:t xml:space="preserve">. </w:t>
      </w:r>
    </w:p>
    <w:p w:rsidR="00287E91" w:rsidRDefault="003962B7" w:rsidP="003962B7">
      <w:pPr>
        <w:spacing w:line="360" w:lineRule="auto"/>
        <w:ind w:firstLine="720"/>
        <w:rPr>
          <w:rFonts w:asciiTheme="majorHAnsi" w:hAnsiTheme="majorHAnsi" w:cs="Times New Roman"/>
          <w:sz w:val="28"/>
          <w:szCs w:val="28"/>
        </w:rPr>
      </w:pPr>
      <w:r>
        <w:rPr>
          <w:rFonts w:asciiTheme="majorHAnsi" w:hAnsiTheme="majorHAnsi" w:cs="Times New Roman"/>
          <w:b/>
          <w:sz w:val="28"/>
          <w:szCs w:val="28"/>
        </w:rPr>
        <w:t xml:space="preserve">Consequences: </w:t>
      </w:r>
      <w:r w:rsidR="00287E91">
        <w:rPr>
          <w:rFonts w:asciiTheme="majorHAnsi" w:hAnsiTheme="majorHAnsi" w:cs="Times New Roman"/>
          <w:sz w:val="28"/>
          <w:szCs w:val="28"/>
        </w:rPr>
        <w:t xml:space="preserve">Restructuring the framework for funding will align </w:t>
      </w:r>
      <w:r w:rsidR="00420935">
        <w:rPr>
          <w:rFonts w:asciiTheme="majorHAnsi" w:hAnsiTheme="majorHAnsi" w:cs="Times New Roman"/>
          <w:sz w:val="28"/>
          <w:szCs w:val="28"/>
        </w:rPr>
        <w:t xml:space="preserve">responsibility for funding with responsibility for setting standards.  The uniform local tax-effort  will rectify the gross inequality in tax burdens. </w:t>
      </w:r>
      <w:r w:rsidR="001F7329">
        <w:rPr>
          <w:rFonts w:asciiTheme="majorHAnsi" w:hAnsiTheme="majorHAnsi" w:cs="Times New Roman"/>
          <w:sz w:val="28"/>
          <w:szCs w:val="28"/>
        </w:rPr>
        <w:t xml:space="preserve"> Importantly, its simplicity and uniformity will give taxpayers a sense of fairness currently lacking.</w:t>
      </w:r>
      <w:r w:rsidR="00420935">
        <w:rPr>
          <w:rFonts w:asciiTheme="majorHAnsi" w:hAnsiTheme="majorHAnsi" w:cs="Times New Roman"/>
          <w:sz w:val="28"/>
          <w:szCs w:val="28"/>
        </w:rPr>
        <w:t xml:space="preserve"> The new structure will require an overall state-wide cost analysis instead of the current fragmented district by district process .  </w:t>
      </w:r>
      <w:r w:rsidR="00B12B65">
        <w:rPr>
          <w:rFonts w:asciiTheme="majorHAnsi" w:hAnsiTheme="majorHAnsi" w:cs="Times New Roman"/>
          <w:sz w:val="28"/>
          <w:szCs w:val="28"/>
        </w:rPr>
        <w:t xml:space="preserve">The determination of an Adequacy amount and consequent funding will align resources and needs, greatly diminishing inequalities in funding and improving student outcomes in previously under-resourced districts. </w:t>
      </w:r>
    </w:p>
    <w:p w:rsidR="00063117" w:rsidRPr="00287E91" w:rsidRDefault="00063117" w:rsidP="003962B7">
      <w:pPr>
        <w:spacing w:line="360" w:lineRule="auto"/>
        <w:ind w:firstLine="720"/>
        <w:rPr>
          <w:rFonts w:asciiTheme="majorHAnsi" w:hAnsiTheme="majorHAnsi" w:cs="Times New Roman"/>
          <w:sz w:val="28"/>
          <w:szCs w:val="28"/>
        </w:rPr>
      </w:pPr>
      <w:r>
        <w:rPr>
          <w:rFonts w:asciiTheme="majorHAnsi" w:hAnsiTheme="majorHAnsi" w:cs="Times New Roman"/>
          <w:sz w:val="28"/>
          <w:szCs w:val="28"/>
        </w:rPr>
        <w:t>Districts will continue to have a stake in economical and efficient management practices because the state sets the limit to what they</w:t>
      </w:r>
      <w:r w:rsidR="00477D2D">
        <w:rPr>
          <w:rFonts w:asciiTheme="majorHAnsi" w:hAnsiTheme="majorHAnsi" w:cs="Times New Roman"/>
          <w:sz w:val="28"/>
          <w:szCs w:val="28"/>
        </w:rPr>
        <w:t xml:space="preserve"> can receive on the basis of need, not on the basis of their individual cost/salary structure.   An inflated cost structure does not produce more funding for  the district but limits what it can do, just as under the current structure taxpayer resistance to increased rates constrains district spending.  There can be an accountability process for use of  any large adequacy increases to assure it </w:t>
      </w:r>
      <w:r w:rsidR="00477D2D">
        <w:rPr>
          <w:rFonts w:asciiTheme="majorHAnsi" w:hAnsiTheme="majorHAnsi" w:cs="Times New Roman"/>
          <w:sz w:val="28"/>
          <w:szCs w:val="28"/>
        </w:rPr>
        <w:lastRenderedPageBreak/>
        <w:t>goes to additional services and proven programs, as in the ABG program</w:t>
      </w:r>
      <w:r w:rsidR="00990E2B">
        <w:rPr>
          <w:rFonts w:asciiTheme="majorHAnsi" w:hAnsiTheme="majorHAnsi" w:cs="Times New Roman"/>
          <w:sz w:val="28"/>
          <w:szCs w:val="28"/>
        </w:rPr>
        <w:t xml:space="preserve"> or the Rendell era increases</w:t>
      </w:r>
      <w:r w:rsidR="00477D2D">
        <w:rPr>
          <w:rFonts w:asciiTheme="majorHAnsi" w:hAnsiTheme="majorHAnsi" w:cs="Times New Roman"/>
          <w:sz w:val="28"/>
          <w:szCs w:val="28"/>
        </w:rPr>
        <w:t>.  Districts performing below the median in terms of PSSA proficiency can be subject to PDE pre-approval</w:t>
      </w:r>
      <w:r w:rsidR="00990E2B">
        <w:rPr>
          <w:rFonts w:asciiTheme="majorHAnsi" w:hAnsiTheme="majorHAnsi" w:cs="Times New Roman"/>
          <w:sz w:val="28"/>
          <w:szCs w:val="28"/>
        </w:rPr>
        <w:t>, for example.</w:t>
      </w:r>
    </w:p>
    <w:p w:rsidR="00905EB5" w:rsidRDefault="00B12B65" w:rsidP="003962B7">
      <w:pPr>
        <w:spacing w:line="360" w:lineRule="auto"/>
        <w:ind w:firstLine="720"/>
        <w:rPr>
          <w:rFonts w:asciiTheme="majorHAnsi" w:hAnsiTheme="majorHAnsi" w:cs="Times New Roman"/>
          <w:sz w:val="28"/>
          <w:szCs w:val="28"/>
        </w:rPr>
      </w:pPr>
      <w:r>
        <w:rPr>
          <w:rFonts w:asciiTheme="majorHAnsi" w:hAnsiTheme="majorHAnsi" w:cs="Times New Roman"/>
          <w:sz w:val="28"/>
          <w:szCs w:val="28"/>
        </w:rPr>
        <w:t xml:space="preserve">There will be different consequences  depending on whether a district is high-spending, low tax; high spending, high tax; low spending, high tax; or low spending low tax.   </w:t>
      </w:r>
      <w:r w:rsidR="00BC29EF">
        <w:rPr>
          <w:rFonts w:asciiTheme="majorHAnsi" w:hAnsiTheme="majorHAnsi" w:cs="Times New Roman"/>
          <w:sz w:val="28"/>
          <w:szCs w:val="28"/>
        </w:rPr>
        <w:t xml:space="preserve">1.  </w:t>
      </w:r>
      <w:r w:rsidR="00D074D3">
        <w:rPr>
          <w:rFonts w:asciiTheme="majorHAnsi" w:hAnsiTheme="majorHAnsi" w:cs="Times New Roman"/>
          <w:sz w:val="28"/>
          <w:szCs w:val="28"/>
        </w:rPr>
        <w:t xml:space="preserve">Districts  with </w:t>
      </w:r>
      <w:r w:rsidR="00D074D3" w:rsidRPr="00905EB5">
        <w:rPr>
          <w:rFonts w:asciiTheme="majorHAnsi" w:hAnsiTheme="majorHAnsi" w:cs="Times New Roman"/>
          <w:b/>
          <w:sz w:val="28"/>
          <w:szCs w:val="28"/>
        </w:rPr>
        <w:t>high spending low adequacy gaps based on high local taxes</w:t>
      </w:r>
      <w:r w:rsidR="001C3418">
        <w:rPr>
          <w:rFonts w:asciiTheme="majorHAnsi" w:hAnsiTheme="majorHAnsi" w:cs="Times New Roman"/>
          <w:sz w:val="28"/>
          <w:szCs w:val="28"/>
        </w:rPr>
        <w:t xml:space="preserve"> like Perkiomen Valley,  Pottsgrove and Pocono Mountain</w:t>
      </w:r>
      <w:r w:rsidR="00D074D3">
        <w:rPr>
          <w:rFonts w:asciiTheme="majorHAnsi" w:hAnsiTheme="majorHAnsi" w:cs="Times New Roman"/>
          <w:sz w:val="28"/>
          <w:szCs w:val="28"/>
        </w:rPr>
        <w:t xml:space="preserve"> will see  reduced local tax levels. </w:t>
      </w:r>
      <w:r w:rsidR="00905EB5">
        <w:rPr>
          <w:rFonts w:asciiTheme="majorHAnsi" w:hAnsiTheme="majorHAnsi" w:cs="Times New Roman"/>
          <w:sz w:val="28"/>
          <w:szCs w:val="28"/>
        </w:rPr>
        <w:t>2</w:t>
      </w:r>
      <w:r w:rsidR="00BC29EF">
        <w:rPr>
          <w:rFonts w:asciiTheme="majorHAnsi" w:hAnsiTheme="majorHAnsi" w:cs="Times New Roman"/>
          <w:sz w:val="28"/>
          <w:szCs w:val="28"/>
        </w:rPr>
        <w:t xml:space="preserve">. </w:t>
      </w:r>
      <w:r w:rsidR="00D074D3">
        <w:rPr>
          <w:rFonts w:asciiTheme="majorHAnsi" w:hAnsiTheme="majorHAnsi" w:cs="Times New Roman"/>
          <w:sz w:val="28"/>
          <w:szCs w:val="28"/>
        </w:rPr>
        <w:t xml:space="preserve"> Districts with </w:t>
      </w:r>
      <w:r w:rsidR="00D074D3" w:rsidRPr="00905EB5">
        <w:rPr>
          <w:rFonts w:asciiTheme="majorHAnsi" w:hAnsiTheme="majorHAnsi" w:cs="Times New Roman"/>
          <w:b/>
          <w:sz w:val="28"/>
          <w:szCs w:val="28"/>
        </w:rPr>
        <w:t xml:space="preserve">large adequacy gaps and  high taxes </w:t>
      </w:r>
      <w:r w:rsidR="00D074D3">
        <w:rPr>
          <w:rFonts w:asciiTheme="majorHAnsi" w:hAnsiTheme="majorHAnsi" w:cs="Times New Roman"/>
          <w:sz w:val="28"/>
          <w:szCs w:val="28"/>
        </w:rPr>
        <w:t>will benefit the most, receiving increases in adequacy funding and some replacement of  local tax dollars.</w:t>
      </w:r>
      <w:r w:rsidR="001C3418">
        <w:rPr>
          <w:rFonts w:asciiTheme="majorHAnsi" w:hAnsiTheme="majorHAnsi" w:cs="Times New Roman"/>
          <w:sz w:val="28"/>
          <w:szCs w:val="28"/>
        </w:rPr>
        <w:t xml:space="preserve"> Older suburbs like Upper Darby and Southeast Delco, Penn Hills and Sto-Rox are examples.</w:t>
      </w:r>
      <w:r w:rsidR="00D074D3">
        <w:rPr>
          <w:rFonts w:asciiTheme="majorHAnsi" w:hAnsiTheme="majorHAnsi" w:cs="Times New Roman"/>
          <w:sz w:val="28"/>
          <w:szCs w:val="28"/>
        </w:rPr>
        <w:t xml:space="preserve">  </w:t>
      </w:r>
      <w:r w:rsidR="00905EB5">
        <w:rPr>
          <w:rFonts w:asciiTheme="majorHAnsi" w:hAnsiTheme="majorHAnsi" w:cs="Times New Roman"/>
          <w:sz w:val="28"/>
          <w:szCs w:val="28"/>
        </w:rPr>
        <w:t>3</w:t>
      </w:r>
      <w:r w:rsidR="00BC29EF">
        <w:rPr>
          <w:rFonts w:asciiTheme="majorHAnsi" w:hAnsiTheme="majorHAnsi" w:cs="Times New Roman"/>
          <w:sz w:val="28"/>
          <w:szCs w:val="28"/>
        </w:rPr>
        <w:t xml:space="preserve">. </w:t>
      </w:r>
      <w:r w:rsidR="00905EB5">
        <w:rPr>
          <w:rFonts w:asciiTheme="majorHAnsi" w:hAnsiTheme="majorHAnsi" w:cs="Times New Roman"/>
          <w:sz w:val="28"/>
          <w:szCs w:val="28"/>
        </w:rPr>
        <w:t xml:space="preserve"> </w:t>
      </w:r>
      <w:r w:rsidR="00D074D3">
        <w:rPr>
          <w:rFonts w:asciiTheme="majorHAnsi" w:hAnsiTheme="majorHAnsi" w:cs="Times New Roman"/>
          <w:sz w:val="28"/>
          <w:szCs w:val="28"/>
        </w:rPr>
        <w:t xml:space="preserve">Districts with </w:t>
      </w:r>
      <w:r w:rsidR="00D074D3" w:rsidRPr="00905EB5">
        <w:rPr>
          <w:rFonts w:asciiTheme="majorHAnsi" w:hAnsiTheme="majorHAnsi" w:cs="Times New Roman"/>
          <w:b/>
          <w:sz w:val="28"/>
          <w:szCs w:val="28"/>
        </w:rPr>
        <w:t>large adequacy gaps but low taxes</w:t>
      </w:r>
      <w:r w:rsidR="00D074D3">
        <w:rPr>
          <w:rFonts w:asciiTheme="majorHAnsi" w:hAnsiTheme="majorHAnsi" w:cs="Times New Roman"/>
          <w:sz w:val="28"/>
          <w:szCs w:val="28"/>
        </w:rPr>
        <w:t xml:space="preserve"> will </w:t>
      </w:r>
      <w:r w:rsidR="0031337B">
        <w:rPr>
          <w:rFonts w:asciiTheme="majorHAnsi" w:hAnsiTheme="majorHAnsi" w:cs="Times New Roman"/>
          <w:sz w:val="28"/>
          <w:szCs w:val="28"/>
        </w:rPr>
        <w:t xml:space="preserve"> receive </w:t>
      </w:r>
      <w:r w:rsidR="00D074D3">
        <w:rPr>
          <w:rFonts w:asciiTheme="majorHAnsi" w:hAnsiTheme="majorHAnsi" w:cs="Times New Roman"/>
          <w:sz w:val="28"/>
          <w:szCs w:val="28"/>
        </w:rPr>
        <w:t xml:space="preserve">adequacy increases </w:t>
      </w:r>
      <w:r w:rsidR="006F7C4E">
        <w:rPr>
          <w:rFonts w:asciiTheme="majorHAnsi" w:hAnsiTheme="majorHAnsi" w:cs="Times New Roman"/>
          <w:sz w:val="28"/>
          <w:szCs w:val="28"/>
        </w:rPr>
        <w:t>only for amounts in excess of the expected local contribution.</w:t>
      </w:r>
      <w:r w:rsidR="0031337B">
        <w:rPr>
          <w:rFonts w:asciiTheme="majorHAnsi" w:hAnsiTheme="majorHAnsi" w:cs="Times New Roman"/>
          <w:sz w:val="28"/>
          <w:szCs w:val="28"/>
        </w:rPr>
        <w:t xml:space="preserve">  Because almost all of the districts in this situation are relatively poor, with low taxing power,  they  will still receive substantial increases in state funding even after  adjusting the calculation for their weak tax effort. </w:t>
      </w:r>
      <w:r w:rsidR="00480FC0">
        <w:rPr>
          <w:rFonts w:asciiTheme="majorHAnsi" w:hAnsiTheme="majorHAnsi" w:cs="Times New Roman"/>
          <w:sz w:val="28"/>
          <w:szCs w:val="28"/>
        </w:rPr>
        <w:t xml:space="preserve"> Grove City, Shamokin, Butler and Sayre Area are examples. </w:t>
      </w:r>
      <w:r w:rsidR="000D4AC8" w:rsidRPr="000D4AC8">
        <w:rPr>
          <w:rFonts w:asciiTheme="majorHAnsi" w:hAnsiTheme="majorHAnsi" w:cs="Times New Roman"/>
          <w:sz w:val="28"/>
          <w:szCs w:val="28"/>
        </w:rPr>
        <w:t xml:space="preserve"> </w:t>
      </w:r>
      <w:r w:rsidR="00905EB5">
        <w:rPr>
          <w:rFonts w:asciiTheme="majorHAnsi" w:hAnsiTheme="majorHAnsi" w:cs="Times New Roman"/>
          <w:sz w:val="28"/>
          <w:szCs w:val="28"/>
        </w:rPr>
        <w:t>4.  Finally, we</w:t>
      </w:r>
      <w:r w:rsidR="00905EB5" w:rsidRPr="000D4AC8">
        <w:rPr>
          <w:rFonts w:asciiTheme="majorHAnsi" w:hAnsiTheme="majorHAnsi" w:cs="Times New Roman"/>
          <w:sz w:val="28"/>
          <w:szCs w:val="28"/>
        </w:rPr>
        <w:t xml:space="preserve">ll to do suburban </w:t>
      </w:r>
      <w:r w:rsidR="00905EB5" w:rsidRPr="00905EB5">
        <w:rPr>
          <w:rFonts w:asciiTheme="majorHAnsi" w:hAnsiTheme="majorHAnsi" w:cs="Times New Roman"/>
          <w:b/>
          <w:sz w:val="28"/>
          <w:szCs w:val="28"/>
        </w:rPr>
        <w:t>districts  with minimum aid ratios and low taxes</w:t>
      </w:r>
      <w:r w:rsidR="00905EB5">
        <w:rPr>
          <w:rFonts w:asciiTheme="majorHAnsi" w:hAnsiTheme="majorHAnsi" w:cs="Times New Roman"/>
          <w:sz w:val="28"/>
          <w:szCs w:val="28"/>
        </w:rPr>
        <w:t xml:space="preserve"> could easily fund their entire  Adequacy budget without nearing the maximum rate.  They are currently receiving $250 million in Basic Education Funding subsidies.  Whether to lock those in or phase them out over time is a political question concerning whether the legislature is willing to raise those tax dollars in addition to the dollars needed for Adequacy.  </w:t>
      </w:r>
    </w:p>
    <w:p w:rsidR="00002DEB" w:rsidRDefault="000D4AC8" w:rsidP="003962B7">
      <w:pPr>
        <w:spacing w:line="360" w:lineRule="auto"/>
        <w:ind w:firstLine="720"/>
        <w:rPr>
          <w:rFonts w:asciiTheme="majorHAnsi" w:hAnsiTheme="majorHAnsi" w:cs="Times New Roman"/>
          <w:sz w:val="28"/>
          <w:szCs w:val="28"/>
        </w:rPr>
      </w:pPr>
      <w:r w:rsidRPr="000D4AC8">
        <w:rPr>
          <w:rFonts w:asciiTheme="majorHAnsi" w:hAnsiTheme="majorHAnsi" w:cs="Times New Roman"/>
          <w:sz w:val="28"/>
          <w:szCs w:val="28"/>
        </w:rPr>
        <w:lastRenderedPageBreak/>
        <w:t>Districts which wish to provide amenities beyond the state funded Adequacy level</w:t>
      </w:r>
      <w:r w:rsidR="0031337B">
        <w:rPr>
          <w:rFonts w:asciiTheme="majorHAnsi" w:hAnsiTheme="majorHAnsi" w:cs="Times New Roman"/>
          <w:sz w:val="28"/>
          <w:szCs w:val="28"/>
        </w:rPr>
        <w:t xml:space="preserve"> by additional local taxes above the uniform rate</w:t>
      </w:r>
      <w:r w:rsidRPr="000D4AC8">
        <w:rPr>
          <w:rFonts w:asciiTheme="majorHAnsi" w:hAnsiTheme="majorHAnsi" w:cs="Times New Roman"/>
          <w:sz w:val="28"/>
          <w:szCs w:val="28"/>
        </w:rPr>
        <w:t xml:space="preserve"> can be permitted to do so </w:t>
      </w:r>
      <w:r w:rsidR="003962B7">
        <w:rPr>
          <w:rFonts w:asciiTheme="majorHAnsi" w:hAnsiTheme="majorHAnsi" w:cs="Times New Roman"/>
          <w:sz w:val="28"/>
          <w:szCs w:val="28"/>
        </w:rPr>
        <w:t>subject to voter approval</w:t>
      </w:r>
      <w:r w:rsidR="00905EB5">
        <w:rPr>
          <w:rFonts w:asciiTheme="majorHAnsi" w:hAnsiTheme="majorHAnsi" w:cs="Times New Roman"/>
          <w:sz w:val="28"/>
          <w:szCs w:val="28"/>
        </w:rPr>
        <w:t>.</w:t>
      </w:r>
      <w:r w:rsidRPr="000D4AC8">
        <w:rPr>
          <w:rFonts w:asciiTheme="majorHAnsi" w:hAnsiTheme="majorHAnsi" w:cs="Times New Roman"/>
          <w:sz w:val="28"/>
          <w:szCs w:val="28"/>
        </w:rPr>
        <w:t xml:space="preserve">   </w:t>
      </w:r>
    </w:p>
    <w:p w:rsidR="000D4AC8" w:rsidRDefault="000D4AC8" w:rsidP="00A6208D">
      <w:pPr>
        <w:spacing w:line="360" w:lineRule="auto"/>
        <w:ind w:firstLine="720"/>
        <w:rPr>
          <w:rFonts w:asciiTheme="majorHAnsi" w:hAnsiTheme="majorHAnsi" w:cs="Times New Roman"/>
          <w:sz w:val="28"/>
          <w:szCs w:val="28"/>
        </w:rPr>
      </w:pPr>
      <w:r w:rsidRPr="000D4AC8">
        <w:rPr>
          <w:rFonts w:asciiTheme="majorHAnsi" w:hAnsiTheme="majorHAnsi" w:cs="Times New Roman"/>
          <w:sz w:val="28"/>
          <w:szCs w:val="28"/>
        </w:rPr>
        <w:t xml:space="preserve">What this  proposal means for the state budget is </w:t>
      </w:r>
      <w:r w:rsidR="00905EB5">
        <w:rPr>
          <w:rFonts w:asciiTheme="majorHAnsi" w:hAnsiTheme="majorHAnsi" w:cs="Times New Roman"/>
          <w:sz w:val="28"/>
          <w:szCs w:val="28"/>
        </w:rPr>
        <w:t xml:space="preserve"> that </w:t>
      </w:r>
      <w:r w:rsidR="00BD2905">
        <w:rPr>
          <w:rFonts w:asciiTheme="majorHAnsi" w:hAnsiTheme="majorHAnsi" w:cs="Times New Roman"/>
          <w:sz w:val="28"/>
          <w:szCs w:val="28"/>
        </w:rPr>
        <w:t xml:space="preserve">for any new adequacy targets beyond current expenditures,  the state share will be all of the increase for the  districts taxing above the cut off and </w:t>
      </w:r>
      <w:r w:rsidR="00905EB5">
        <w:rPr>
          <w:rFonts w:asciiTheme="majorHAnsi" w:hAnsiTheme="majorHAnsi" w:cs="Times New Roman"/>
          <w:sz w:val="28"/>
          <w:szCs w:val="28"/>
        </w:rPr>
        <w:t xml:space="preserve"> will be reduced for low taxing districts</w:t>
      </w:r>
      <w:r w:rsidR="002C1CB4">
        <w:rPr>
          <w:rFonts w:asciiTheme="majorHAnsi" w:hAnsiTheme="majorHAnsi" w:cs="Times New Roman"/>
          <w:sz w:val="28"/>
          <w:szCs w:val="28"/>
        </w:rPr>
        <w:t>.</w:t>
      </w:r>
      <w:r w:rsidR="00BD2905">
        <w:rPr>
          <w:rFonts w:asciiTheme="majorHAnsi" w:hAnsiTheme="majorHAnsi" w:cs="Times New Roman"/>
          <w:sz w:val="28"/>
          <w:szCs w:val="28"/>
        </w:rPr>
        <w:t xml:space="preserve">  In addition the state will pick up the expense of </w:t>
      </w:r>
      <w:r w:rsidR="00241BFF">
        <w:rPr>
          <w:rFonts w:asciiTheme="majorHAnsi" w:hAnsiTheme="majorHAnsi" w:cs="Times New Roman"/>
          <w:sz w:val="28"/>
          <w:szCs w:val="28"/>
        </w:rPr>
        <w:t xml:space="preserve">bringing the high tax effort districts down to the cap.  The actual cost will depend on where the </w:t>
      </w:r>
      <w:r w:rsidR="002C1CB4">
        <w:rPr>
          <w:rFonts w:asciiTheme="majorHAnsi" w:hAnsiTheme="majorHAnsi" w:cs="Times New Roman"/>
          <w:sz w:val="28"/>
          <w:szCs w:val="28"/>
        </w:rPr>
        <w:t>maximum</w:t>
      </w:r>
      <w:r w:rsidR="00241BFF">
        <w:rPr>
          <w:rFonts w:asciiTheme="majorHAnsi" w:hAnsiTheme="majorHAnsi" w:cs="Times New Roman"/>
          <w:sz w:val="28"/>
          <w:szCs w:val="28"/>
        </w:rPr>
        <w:t xml:space="preserve"> tax effort is set</w:t>
      </w:r>
      <w:r w:rsidR="002C1CB4">
        <w:rPr>
          <w:rFonts w:asciiTheme="majorHAnsi" w:hAnsiTheme="majorHAnsi" w:cs="Times New Roman"/>
          <w:sz w:val="28"/>
          <w:szCs w:val="28"/>
        </w:rPr>
        <w:t>.</w:t>
      </w:r>
      <w:r w:rsidR="00241BFF">
        <w:rPr>
          <w:rFonts w:asciiTheme="majorHAnsi" w:hAnsiTheme="majorHAnsi" w:cs="Times New Roman"/>
          <w:sz w:val="28"/>
          <w:szCs w:val="28"/>
        </w:rPr>
        <w:t xml:space="preserve">  If there were no Adequacy increases set, the cost is the current local spending in excess of the tax effort cap. As noted, if set at the 75</w:t>
      </w:r>
      <w:r w:rsidR="00241BFF" w:rsidRPr="00241BFF">
        <w:rPr>
          <w:rFonts w:asciiTheme="majorHAnsi" w:hAnsiTheme="majorHAnsi" w:cs="Times New Roman"/>
          <w:sz w:val="28"/>
          <w:szCs w:val="28"/>
          <w:vertAlign w:val="superscript"/>
        </w:rPr>
        <w:t>th</w:t>
      </w:r>
      <w:r w:rsidR="00241BFF">
        <w:rPr>
          <w:rFonts w:asciiTheme="majorHAnsi" w:hAnsiTheme="majorHAnsi" w:cs="Times New Roman"/>
          <w:sz w:val="28"/>
          <w:szCs w:val="28"/>
        </w:rPr>
        <w:t xml:space="preserve"> percentile it is around $800 million.  At the 50</w:t>
      </w:r>
      <w:r w:rsidR="00241BFF" w:rsidRPr="00241BFF">
        <w:rPr>
          <w:rFonts w:asciiTheme="majorHAnsi" w:hAnsiTheme="majorHAnsi" w:cs="Times New Roman"/>
          <w:sz w:val="28"/>
          <w:szCs w:val="28"/>
          <w:vertAlign w:val="superscript"/>
        </w:rPr>
        <w:t>th</w:t>
      </w:r>
      <w:r w:rsidR="00241BFF">
        <w:rPr>
          <w:rFonts w:asciiTheme="majorHAnsi" w:hAnsiTheme="majorHAnsi" w:cs="Times New Roman"/>
          <w:sz w:val="28"/>
          <w:szCs w:val="28"/>
        </w:rPr>
        <w:t xml:space="preserve"> </w:t>
      </w:r>
      <w:r w:rsidR="00A6208D">
        <w:rPr>
          <w:rFonts w:asciiTheme="majorHAnsi" w:hAnsiTheme="majorHAnsi" w:cs="Times New Roman"/>
          <w:sz w:val="28"/>
          <w:szCs w:val="28"/>
        </w:rPr>
        <w:t xml:space="preserve">percentile it is about $1.5 billion.  </w:t>
      </w:r>
      <w:r w:rsidR="002C1CB4">
        <w:rPr>
          <w:rFonts w:asciiTheme="majorHAnsi" w:hAnsiTheme="majorHAnsi" w:cs="Times New Roman"/>
          <w:sz w:val="28"/>
          <w:szCs w:val="28"/>
        </w:rPr>
        <w:t>T</w:t>
      </w:r>
      <w:r w:rsidRPr="000D4AC8">
        <w:rPr>
          <w:rFonts w:asciiTheme="majorHAnsi" w:hAnsiTheme="majorHAnsi" w:cs="Times New Roman"/>
          <w:sz w:val="28"/>
          <w:szCs w:val="28"/>
        </w:rPr>
        <w:t xml:space="preserve">his presents a bigger state revenue problem,  but there is legitimately a transition phase-in process which can buffer this. </w:t>
      </w:r>
    </w:p>
    <w:p w:rsidR="004D2A02" w:rsidRPr="000D4AC8" w:rsidRDefault="004D2A02" w:rsidP="004D2A02">
      <w:pPr>
        <w:spacing w:line="360" w:lineRule="auto"/>
        <w:ind w:firstLine="720"/>
        <w:rPr>
          <w:rFonts w:asciiTheme="majorHAnsi" w:hAnsiTheme="majorHAnsi"/>
          <w:sz w:val="28"/>
          <w:szCs w:val="28"/>
        </w:rPr>
      </w:pPr>
      <w:r>
        <w:rPr>
          <w:rFonts w:asciiTheme="majorHAnsi" w:hAnsiTheme="majorHAnsi"/>
          <w:sz w:val="28"/>
          <w:szCs w:val="28"/>
        </w:rPr>
        <w:t xml:space="preserve">Are there alternative ways to take into account tax effort and to equalize it?  Certainly you can give high taxing districts preferential treatment in how much </w:t>
      </w:r>
      <w:r w:rsidR="00A6208D">
        <w:rPr>
          <w:rFonts w:asciiTheme="majorHAnsi" w:hAnsiTheme="majorHAnsi"/>
          <w:sz w:val="28"/>
          <w:szCs w:val="28"/>
        </w:rPr>
        <w:t>is distributed to them, or relieve them of any additional local match to state adequacy increases. Neither reduces the existing excessive tax burden and it is difficult</w:t>
      </w:r>
      <w:r>
        <w:rPr>
          <w:rFonts w:asciiTheme="majorHAnsi" w:hAnsiTheme="majorHAnsi"/>
          <w:sz w:val="28"/>
          <w:szCs w:val="28"/>
        </w:rPr>
        <w:t xml:space="preserve"> to ensure that</w:t>
      </w:r>
      <w:r w:rsidR="00A6208D">
        <w:rPr>
          <w:rFonts w:asciiTheme="majorHAnsi" w:hAnsiTheme="majorHAnsi"/>
          <w:sz w:val="28"/>
          <w:szCs w:val="28"/>
        </w:rPr>
        <w:t xml:space="preserve"> any of </w:t>
      </w:r>
      <w:r>
        <w:rPr>
          <w:rFonts w:asciiTheme="majorHAnsi" w:hAnsiTheme="majorHAnsi"/>
          <w:sz w:val="28"/>
          <w:szCs w:val="28"/>
        </w:rPr>
        <w:t xml:space="preserve"> the</w:t>
      </w:r>
      <w:r w:rsidR="00A6208D">
        <w:rPr>
          <w:rFonts w:asciiTheme="majorHAnsi" w:hAnsiTheme="majorHAnsi"/>
          <w:sz w:val="28"/>
          <w:szCs w:val="28"/>
        </w:rPr>
        <w:t>se funds are</w:t>
      </w:r>
      <w:r>
        <w:rPr>
          <w:rFonts w:asciiTheme="majorHAnsi" w:hAnsiTheme="majorHAnsi"/>
          <w:sz w:val="28"/>
          <w:szCs w:val="28"/>
        </w:rPr>
        <w:t xml:space="preserve"> use</w:t>
      </w:r>
      <w:r w:rsidR="00A6208D">
        <w:rPr>
          <w:rFonts w:asciiTheme="majorHAnsi" w:hAnsiTheme="majorHAnsi"/>
          <w:sz w:val="28"/>
          <w:szCs w:val="28"/>
        </w:rPr>
        <w:t>d</w:t>
      </w:r>
      <w:r>
        <w:rPr>
          <w:rFonts w:asciiTheme="majorHAnsi" w:hAnsiTheme="majorHAnsi"/>
          <w:sz w:val="28"/>
          <w:szCs w:val="28"/>
        </w:rPr>
        <w:t xml:space="preserve"> </w:t>
      </w:r>
      <w:r w:rsidR="00A6208D">
        <w:rPr>
          <w:rFonts w:asciiTheme="majorHAnsi" w:hAnsiTheme="majorHAnsi"/>
          <w:sz w:val="28"/>
          <w:szCs w:val="28"/>
        </w:rPr>
        <w:t>s</w:t>
      </w:r>
      <w:r>
        <w:rPr>
          <w:rFonts w:asciiTheme="majorHAnsi" w:hAnsiTheme="majorHAnsi"/>
          <w:sz w:val="28"/>
          <w:szCs w:val="28"/>
        </w:rPr>
        <w:t xml:space="preserve">to reduce local taxes when it is intended to get them to adequacy, and you don’t have the benefits of a clear cap which the public understands is uniform across the state.  A second alternative would be to have a fund to reduce high taxes, much like the casino revenues are used. The advantage of that is you can target specific types of taxpayers for assistance.  But you still need to find the resources to pay for it and  a way to make the local cap clear to taxpayers.  </w:t>
      </w:r>
      <w:r>
        <w:rPr>
          <w:rFonts w:asciiTheme="majorHAnsi" w:hAnsiTheme="majorHAnsi"/>
          <w:sz w:val="28"/>
          <w:szCs w:val="28"/>
        </w:rPr>
        <w:lastRenderedPageBreak/>
        <w:t xml:space="preserve">Most importantly,  the  connection between </w:t>
      </w:r>
      <w:r w:rsidR="002C1CB4">
        <w:rPr>
          <w:rFonts w:asciiTheme="majorHAnsi" w:hAnsiTheme="majorHAnsi"/>
          <w:sz w:val="28"/>
          <w:szCs w:val="28"/>
        </w:rPr>
        <w:t xml:space="preserve">increased </w:t>
      </w:r>
      <w:r>
        <w:rPr>
          <w:rFonts w:asciiTheme="majorHAnsi" w:hAnsiTheme="majorHAnsi"/>
          <w:sz w:val="28"/>
          <w:szCs w:val="28"/>
        </w:rPr>
        <w:t xml:space="preserve">adequacy and </w:t>
      </w:r>
      <w:r w:rsidR="002C1CB4">
        <w:rPr>
          <w:rFonts w:asciiTheme="majorHAnsi" w:hAnsiTheme="majorHAnsi"/>
          <w:sz w:val="28"/>
          <w:szCs w:val="28"/>
        </w:rPr>
        <w:t xml:space="preserve">tax payer </w:t>
      </w:r>
      <w:r>
        <w:rPr>
          <w:rFonts w:asciiTheme="majorHAnsi" w:hAnsiTheme="majorHAnsi"/>
          <w:sz w:val="28"/>
          <w:szCs w:val="28"/>
        </w:rPr>
        <w:t xml:space="preserve">equity is less clear and it may be harder to get political support when they are not linked and the winner/loser count is done separately for each. </w:t>
      </w:r>
    </w:p>
    <w:p w:rsidR="004D2A02" w:rsidRPr="000D4AC8" w:rsidRDefault="004D2A02" w:rsidP="003962B7">
      <w:pPr>
        <w:spacing w:line="360" w:lineRule="auto"/>
        <w:ind w:firstLine="720"/>
        <w:rPr>
          <w:rFonts w:asciiTheme="majorHAnsi" w:hAnsiTheme="majorHAnsi" w:cs="Times New Roman"/>
          <w:sz w:val="28"/>
          <w:szCs w:val="28"/>
        </w:rPr>
      </w:pPr>
    </w:p>
    <w:p w:rsidR="000D4AC8" w:rsidRPr="000D4AC8" w:rsidRDefault="000D4AC8" w:rsidP="008D0938">
      <w:pPr>
        <w:spacing w:line="360" w:lineRule="auto"/>
        <w:ind w:firstLine="720"/>
        <w:rPr>
          <w:rFonts w:asciiTheme="majorHAnsi" w:hAnsiTheme="majorHAnsi" w:cs="Times New Roman"/>
          <w:sz w:val="28"/>
          <w:szCs w:val="28"/>
        </w:rPr>
      </w:pPr>
      <w:r w:rsidRPr="000D4AC8">
        <w:rPr>
          <w:rFonts w:asciiTheme="majorHAnsi" w:hAnsiTheme="majorHAnsi" w:cs="Times New Roman"/>
          <w:sz w:val="28"/>
          <w:szCs w:val="28"/>
        </w:rPr>
        <w:t xml:space="preserve">Will this </w:t>
      </w:r>
      <w:r w:rsidR="004D2A02">
        <w:rPr>
          <w:rFonts w:asciiTheme="majorHAnsi" w:hAnsiTheme="majorHAnsi" w:cs="Times New Roman"/>
          <w:sz w:val="28"/>
          <w:szCs w:val="28"/>
        </w:rPr>
        <w:t xml:space="preserve">proposal </w:t>
      </w:r>
      <w:r w:rsidRPr="000D4AC8">
        <w:rPr>
          <w:rFonts w:asciiTheme="majorHAnsi" w:hAnsiTheme="majorHAnsi" w:cs="Times New Roman"/>
          <w:sz w:val="28"/>
          <w:szCs w:val="28"/>
        </w:rPr>
        <w:t>halt Pennsylvania’s long history of burdening local taxpayers and</w:t>
      </w:r>
      <w:r w:rsidR="00A6208D">
        <w:rPr>
          <w:rFonts w:asciiTheme="majorHAnsi" w:hAnsiTheme="majorHAnsi" w:cs="Times New Roman"/>
          <w:sz w:val="28"/>
          <w:szCs w:val="28"/>
        </w:rPr>
        <w:t xml:space="preserve"> low state appropriations</w:t>
      </w:r>
      <w:bookmarkStart w:id="0" w:name="_GoBack"/>
      <w:bookmarkEnd w:id="0"/>
      <w:r w:rsidRPr="000D4AC8">
        <w:rPr>
          <w:rFonts w:asciiTheme="majorHAnsi" w:hAnsiTheme="majorHAnsi" w:cs="Times New Roman"/>
          <w:sz w:val="28"/>
          <w:szCs w:val="28"/>
        </w:rPr>
        <w:t xml:space="preserve">?  No guarantee, but by bringing the structure in conformity with taxing reality—only the state has the tax base necessary to fund the vast majority of districts with weak tax bases—and with budgeting reality—the state sets proficiency standards and therefore sets the costs which must be met, there is a much better chance.  </w:t>
      </w:r>
      <w:r w:rsidR="00480FC0">
        <w:rPr>
          <w:rFonts w:asciiTheme="majorHAnsi" w:hAnsiTheme="majorHAnsi" w:cs="Times New Roman"/>
          <w:sz w:val="28"/>
          <w:szCs w:val="28"/>
        </w:rPr>
        <w:t>In any event, with a uniform local tax effort it will be a much fairer system and have more public support for the</w:t>
      </w:r>
      <w:r w:rsidR="00C515CE">
        <w:rPr>
          <w:rFonts w:asciiTheme="majorHAnsi" w:hAnsiTheme="majorHAnsi" w:cs="Times New Roman"/>
          <w:sz w:val="28"/>
          <w:szCs w:val="28"/>
        </w:rPr>
        <w:t xml:space="preserve"> providing the necessary revenues so all children will have a fair educational opportunity.</w:t>
      </w:r>
    </w:p>
    <w:sectPr w:rsidR="000D4AC8" w:rsidRPr="000D4AC8" w:rsidSect="001B309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B8C" w:rsidRDefault="003F1B8C" w:rsidP="000130C7">
      <w:pPr>
        <w:spacing w:after="0" w:line="240" w:lineRule="auto"/>
      </w:pPr>
      <w:r>
        <w:separator/>
      </w:r>
    </w:p>
  </w:endnote>
  <w:endnote w:type="continuationSeparator" w:id="0">
    <w:p w:rsidR="003F1B8C" w:rsidRDefault="003F1B8C" w:rsidP="000130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737457"/>
      <w:docPartObj>
        <w:docPartGallery w:val="Page Numbers (Bottom of Page)"/>
        <w:docPartUnique/>
      </w:docPartObj>
    </w:sdtPr>
    <w:sdtContent>
      <w:p w:rsidR="00905EB5" w:rsidRDefault="009E1684">
        <w:pPr>
          <w:pStyle w:val="Footer"/>
          <w:jc w:val="center"/>
        </w:pPr>
        <w:fldSimple w:instr=" PAGE   \* MERGEFORMAT ">
          <w:r w:rsidR="00960A77">
            <w:rPr>
              <w:noProof/>
            </w:rPr>
            <w:t>12</w:t>
          </w:r>
        </w:fldSimple>
      </w:p>
    </w:sdtContent>
  </w:sdt>
  <w:p w:rsidR="00905EB5" w:rsidRDefault="00905E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B8C" w:rsidRDefault="003F1B8C" w:rsidP="000130C7">
      <w:pPr>
        <w:spacing w:after="0" w:line="240" w:lineRule="auto"/>
      </w:pPr>
      <w:r>
        <w:separator/>
      </w:r>
    </w:p>
  </w:footnote>
  <w:footnote w:type="continuationSeparator" w:id="0">
    <w:p w:rsidR="003F1B8C" w:rsidRDefault="003F1B8C" w:rsidP="000130C7">
      <w:pPr>
        <w:spacing w:after="0" w:line="240" w:lineRule="auto"/>
      </w:pPr>
      <w:r>
        <w:continuationSeparator/>
      </w:r>
    </w:p>
  </w:footnote>
  <w:footnote w:id="1">
    <w:p w:rsidR="00905EB5" w:rsidRPr="00A51CB5" w:rsidRDefault="00905EB5">
      <w:pPr>
        <w:pStyle w:val="FootnoteText"/>
      </w:pPr>
      <w:r>
        <w:rPr>
          <w:rFonts w:asciiTheme="majorHAnsi" w:hAnsiTheme="majorHAnsi" w:cs="Times New Roman"/>
        </w:rPr>
        <w:t xml:space="preserve">It makes sense to </w:t>
      </w:r>
      <w:r w:rsidRPr="00A51CB5">
        <w:rPr>
          <w:rFonts w:asciiTheme="majorHAnsi" w:hAnsiTheme="majorHAnsi" w:cs="Times New Roman"/>
        </w:rPr>
        <w:t xml:space="preserve">measure tax effort for this purpose by local tax receipts as a percentage of personal income since it is personal income that district taxpayers use to pay their taxes, including property taxes.  Furthermore this measure is based on uniform data from tax returns and is not dependent upon the variation in county assessments. But the  Commonwealth could use the </w:t>
      </w:r>
      <w:r>
        <w:rPr>
          <w:rFonts w:asciiTheme="majorHAnsi" w:hAnsiTheme="majorHAnsi" w:cs="Times New Roman"/>
        </w:rPr>
        <w:t>a</w:t>
      </w:r>
      <w:r w:rsidRPr="00A51CB5">
        <w:rPr>
          <w:rFonts w:asciiTheme="majorHAnsi" w:hAnsiTheme="majorHAnsi" w:cs="Times New Roman"/>
        </w:rPr>
        <w:t xml:space="preserve">n </w:t>
      </w:r>
      <w:r>
        <w:rPr>
          <w:rFonts w:asciiTheme="majorHAnsi" w:hAnsiTheme="majorHAnsi" w:cs="Times New Roman"/>
        </w:rPr>
        <w:t xml:space="preserve">equalized </w:t>
      </w:r>
      <w:r w:rsidRPr="00A51CB5">
        <w:rPr>
          <w:rFonts w:asciiTheme="majorHAnsi" w:hAnsiTheme="majorHAnsi" w:cs="Times New Roman"/>
        </w:rPr>
        <w:t xml:space="preserve">millage rate </w:t>
      </w:r>
      <w:r>
        <w:rPr>
          <w:rFonts w:asciiTheme="majorHAnsi" w:hAnsiTheme="majorHAnsi" w:cs="Times New Roman"/>
        </w:rPr>
        <w:t>which is more familiar.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603C0"/>
    <w:multiLevelType w:val="hybridMultilevel"/>
    <w:tmpl w:val="C1E4E572"/>
    <w:lvl w:ilvl="0" w:tplc="FFCCDDC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5"/>
  <w:proofState w:spelling="clean" w:grammar="clean"/>
  <w:defaultTabStop w:val="720"/>
  <w:characterSpacingControl w:val="doNotCompress"/>
  <w:footnotePr>
    <w:footnote w:id="-1"/>
    <w:footnote w:id="0"/>
  </w:footnotePr>
  <w:endnotePr>
    <w:endnote w:id="-1"/>
    <w:endnote w:id="0"/>
  </w:endnotePr>
  <w:compat/>
  <w:rsids>
    <w:rsidRoot w:val="004E7745"/>
    <w:rsid w:val="00002DEB"/>
    <w:rsid w:val="000119CD"/>
    <w:rsid w:val="000130C7"/>
    <w:rsid w:val="00016198"/>
    <w:rsid w:val="0003278F"/>
    <w:rsid w:val="00037298"/>
    <w:rsid w:val="00063117"/>
    <w:rsid w:val="000760BB"/>
    <w:rsid w:val="00076EC0"/>
    <w:rsid w:val="00095D1D"/>
    <w:rsid w:val="000D4AC8"/>
    <w:rsid w:val="000E3A5E"/>
    <w:rsid w:val="000E400F"/>
    <w:rsid w:val="001046DA"/>
    <w:rsid w:val="0015439C"/>
    <w:rsid w:val="00154DA3"/>
    <w:rsid w:val="001A7A77"/>
    <w:rsid w:val="001B295B"/>
    <w:rsid w:val="001B3099"/>
    <w:rsid w:val="001C3418"/>
    <w:rsid w:val="001F7329"/>
    <w:rsid w:val="002041C0"/>
    <w:rsid w:val="00235709"/>
    <w:rsid w:val="00241BFF"/>
    <w:rsid w:val="00287E91"/>
    <w:rsid w:val="00296CEB"/>
    <w:rsid w:val="00297378"/>
    <w:rsid w:val="002A25EE"/>
    <w:rsid w:val="002C1CB4"/>
    <w:rsid w:val="0031337B"/>
    <w:rsid w:val="003314FB"/>
    <w:rsid w:val="00331624"/>
    <w:rsid w:val="00342679"/>
    <w:rsid w:val="00350E55"/>
    <w:rsid w:val="003962B7"/>
    <w:rsid w:val="003C5B50"/>
    <w:rsid w:val="003E77EF"/>
    <w:rsid w:val="003F1B8C"/>
    <w:rsid w:val="003F618B"/>
    <w:rsid w:val="00420935"/>
    <w:rsid w:val="00433ACA"/>
    <w:rsid w:val="00477D2D"/>
    <w:rsid w:val="00480402"/>
    <w:rsid w:val="00480FC0"/>
    <w:rsid w:val="00487FF9"/>
    <w:rsid w:val="004D19C5"/>
    <w:rsid w:val="004D2A02"/>
    <w:rsid w:val="004E7745"/>
    <w:rsid w:val="004F7207"/>
    <w:rsid w:val="00530AED"/>
    <w:rsid w:val="00545655"/>
    <w:rsid w:val="00550DAC"/>
    <w:rsid w:val="005600ED"/>
    <w:rsid w:val="00562032"/>
    <w:rsid w:val="00574EDB"/>
    <w:rsid w:val="005A77B8"/>
    <w:rsid w:val="005B0C4E"/>
    <w:rsid w:val="005F4784"/>
    <w:rsid w:val="005F49B1"/>
    <w:rsid w:val="00602C7C"/>
    <w:rsid w:val="0063333A"/>
    <w:rsid w:val="00640A44"/>
    <w:rsid w:val="00660DFB"/>
    <w:rsid w:val="006A1A21"/>
    <w:rsid w:val="006A4F1A"/>
    <w:rsid w:val="006B0EE7"/>
    <w:rsid w:val="006F0FC4"/>
    <w:rsid w:val="006F7C4E"/>
    <w:rsid w:val="007421DB"/>
    <w:rsid w:val="00750916"/>
    <w:rsid w:val="007614F6"/>
    <w:rsid w:val="00783775"/>
    <w:rsid w:val="007A6784"/>
    <w:rsid w:val="007B735A"/>
    <w:rsid w:val="00801539"/>
    <w:rsid w:val="00817DD0"/>
    <w:rsid w:val="00826A2C"/>
    <w:rsid w:val="00834FA6"/>
    <w:rsid w:val="00860E93"/>
    <w:rsid w:val="00874858"/>
    <w:rsid w:val="00893550"/>
    <w:rsid w:val="008D0938"/>
    <w:rsid w:val="008E68B8"/>
    <w:rsid w:val="008F7842"/>
    <w:rsid w:val="00905EB5"/>
    <w:rsid w:val="00940EBA"/>
    <w:rsid w:val="00960A77"/>
    <w:rsid w:val="009626BC"/>
    <w:rsid w:val="00990E2B"/>
    <w:rsid w:val="009D7B1E"/>
    <w:rsid w:val="009E1684"/>
    <w:rsid w:val="00A2035D"/>
    <w:rsid w:val="00A25880"/>
    <w:rsid w:val="00A51CB5"/>
    <w:rsid w:val="00A565E8"/>
    <w:rsid w:val="00A6208D"/>
    <w:rsid w:val="00A72592"/>
    <w:rsid w:val="00A93AB5"/>
    <w:rsid w:val="00A93EBA"/>
    <w:rsid w:val="00AA52D6"/>
    <w:rsid w:val="00AC0CFB"/>
    <w:rsid w:val="00AC140A"/>
    <w:rsid w:val="00AE4ADE"/>
    <w:rsid w:val="00AE6256"/>
    <w:rsid w:val="00B0261A"/>
    <w:rsid w:val="00B066BC"/>
    <w:rsid w:val="00B12B65"/>
    <w:rsid w:val="00B22E56"/>
    <w:rsid w:val="00B32257"/>
    <w:rsid w:val="00B3466E"/>
    <w:rsid w:val="00B52C60"/>
    <w:rsid w:val="00BA3BE0"/>
    <w:rsid w:val="00BB5E04"/>
    <w:rsid w:val="00BC29EF"/>
    <w:rsid w:val="00BC4D44"/>
    <w:rsid w:val="00BD18D2"/>
    <w:rsid w:val="00BD2905"/>
    <w:rsid w:val="00BF51EF"/>
    <w:rsid w:val="00C15213"/>
    <w:rsid w:val="00C515CE"/>
    <w:rsid w:val="00C61325"/>
    <w:rsid w:val="00C7799D"/>
    <w:rsid w:val="00C96A36"/>
    <w:rsid w:val="00CD2083"/>
    <w:rsid w:val="00D074D3"/>
    <w:rsid w:val="00D503F9"/>
    <w:rsid w:val="00D7536E"/>
    <w:rsid w:val="00D8643D"/>
    <w:rsid w:val="00DA39E5"/>
    <w:rsid w:val="00DB4194"/>
    <w:rsid w:val="00DC564A"/>
    <w:rsid w:val="00DE61FC"/>
    <w:rsid w:val="00E261A1"/>
    <w:rsid w:val="00E33FA9"/>
    <w:rsid w:val="00E85E9B"/>
    <w:rsid w:val="00EC1C13"/>
    <w:rsid w:val="00ED3F3E"/>
    <w:rsid w:val="00F37CD6"/>
    <w:rsid w:val="00F717A1"/>
    <w:rsid w:val="00F72ED0"/>
    <w:rsid w:val="00FC230A"/>
    <w:rsid w:val="00FF4F76"/>
    <w:rsid w:val="00FF7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0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7E91"/>
    <w:rPr>
      <w:sz w:val="16"/>
      <w:szCs w:val="16"/>
    </w:rPr>
  </w:style>
  <w:style w:type="paragraph" w:styleId="CommentText">
    <w:name w:val="annotation text"/>
    <w:basedOn w:val="Normal"/>
    <w:link w:val="CommentTextChar"/>
    <w:uiPriority w:val="99"/>
    <w:semiHidden/>
    <w:unhideWhenUsed/>
    <w:rsid w:val="00287E91"/>
    <w:pPr>
      <w:spacing w:line="240" w:lineRule="auto"/>
    </w:pPr>
    <w:rPr>
      <w:sz w:val="20"/>
      <w:szCs w:val="20"/>
    </w:rPr>
  </w:style>
  <w:style w:type="character" w:customStyle="1" w:styleId="CommentTextChar">
    <w:name w:val="Comment Text Char"/>
    <w:basedOn w:val="DefaultParagraphFont"/>
    <w:link w:val="CommentText"/>
    <w:uiPriority w:val="99"/>
    <w:semiHidden/>
    <w:rsid w:val="00287E91"/>
    <w:rPr>
      <w:sz w:val="20"/>
      <w:szCs w:val="20"/>
    </w:rPr>
  </w:style>
  <w:style w:type="paragraph" w:styleId="CommentSubject">
    <w:name w:val="annotation subject"/>
    <w:basedOn w:val="CommentText"/>
    <w:next w:val="CommentText"/>
    <w:link w:val="CommentSubjectChar"/>
    <w:uiPriority w:val="99"/>
    <w:semiHidden/>
    <w:unhideWhenUsed/>
    <w:rsid w:val="00287E91"/>
    <w:rPr>
      <w:b/>
      <w:bCs/>
    </w:rPr>
  </w:style>
  <w:style w:type="character" w:customStyle="1" w:styleId="CommentSubjectChar">
    <w:name w:val="Comment Subject Char"/>
    <w:basedOn w:val="CommentTextChar"/>
    <w:link w:val="CommentSubject"/>
    <w:uiPriority w:val="99"/>
    <w:semiHidden/>
    <w:rsid w:val="00287E91"/>
    <w:rPr>
      <w:b/>
      <w:bCs/>
      <w:sz w:val="20"/>
      <w:szCs w:val="20"/>
    </w:rPr>
  </w:style>
  <w:style w:type="paragraph" w:styleId="BalloonText">
    <w:name w:val="Balloon Text"/>
    <w:basedOn w:val="Normal"/>
    <w:link w:val="BalloonTextChar"/>
    <w:uiPriority w:val="99"/>
    <w:semiHidden/>
    <w:unhideWhenUsed/>
    <w:rsid w:val="00287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E91"/>
    <w:rPr>
      <w:rFonts w:ascii="Tahoma" w:hAnsi="Tahoma" w:cs="Tahoma"/>
      <w:sz w:val="16"/>
      <w:szCs w:val="16"/>
    </w:rPr>
  </w:style>
  <w:style w:type="paragraph" w:styleId="Header">
    <w:name w:val="header"/>
    <w:basedOn w:val="Normal"/>
    <w:link w:val="HeaderChar"/>
    <w:uiPriority w:val="99"/>
    <w:semiHidden/>
    <w:unhideWhenUsed/>
    <w:rsid w:val="000130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30C7"/>
  </w:style>
  <w:style w:type="paragraph" w:styleId="Footer">
    <w:name w:val="footer"/>
    <w:basedOn w:val="Normal"/>
    <w:link w:val="FooterChar"/>
    <w:uiPriority w:val="99"/>
    <w:unhideWhenUsed/>
    <w:rsid w:val="00013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0C7"/>
  </w:style>
  <w:style w:type="paragraph" w:styleId="ListParagraph">
    <w:name w:val="List Paragraph"/>
    <w:basedOn w:val="Normal"/>
    <w:uiPriority w:val="34"/>
    <w:qFormat/>
    <w:rsid w:val="00874858"/>
    <w:pPr>
      <w:ind w:left="720"/>
      <w:contextualSpacing/>
    </w:pPr>
  </w:style>
  <w:style w:type="paragraph" w:styleId="FootnoteText">
    <w:name w:val="footnote text"/>
    <w:basedOn w:val="Normal"/>
    <w:link w:val="FootnoteTextChar"/>
    <w:uiPriority w:val="99"/>
    <w:semiHidden/>
    <w:unhideWhenUsed/>
    <w:rsid w:val="00A51C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1CB5"/>
    <w:rPr>
      <w:sz w:val="20"/>
      <w:szCs w:val="20"/>
    </w:rPr>
  </w:style>
  <w:style w:type="character" w:styleId="FootnoteReference">
    <w:name w:val="footnote reference"/>
    <w:basedOn w:val="DefaultParagraphFont"/>
    <w:uiPriority w:val="99"/>
    <w:semiHidden/>
    <w:unhideWhenUsed/>
    <w:rsid w:val="00A51CB5"/>
    <w:rPr>
      <w:vertAlign w:val="superscript"/>
    </w:rPr>
  </w:style>
  <w:style w:type="table" w:styleId="TableGrid">
    <w:name w:val="Table Grid"/>
    <w:basedOn w:val="TableNormal"/>
    <w:uiPriority w:val="59"/>
    <w:rsid w:val="00037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94386-D3BB-495D-BA3C-3933FC271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12</Pages>
  <Words>2770</Words>
  <Characters>15792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LZheng</cp:lastModifiedBy>
  <cp:revision>2</cp:revision>
  <cp:lastPrinted>2014-11-14T19:25:00Z</cp:lastPrinted>
  <dcterms:created xsi:type="dcterms:W3CDTF">2014-12-10T18:47:00Z</dcterms:created>
  <dcterms:modified xsi:type="dcterms:W3CDTF">2014-12-10T18:47:00Z</dcterms:modified>
</cp:coreProperties>
</file>